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 THE SECURITIES EXCHANGE ACT OF 1934</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001-41421</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Alvotech</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 Rue de Bitbourg,</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L-1273 Luxembourg,</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Grand Duchy of Luxembourg</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885825</wp:posOffset>
            </wp:positionV>
            <wp:extent cx="71323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689"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Report on Form 6-K (this “Report”) of Alvotech (the “Company”), including Exhibit 99.3 and excluding Exhibits 99.1 and 99.2 attached hereto, shall be deemed to be incorporated by reference into the Company’s registration statements on Forms F-3 (File Nos. 333-266136, 333-273262, 333-275111 and 333-281684), the Company’s registration statement on Form F-3ASR (File No. 333-289006), and the Company’s registration statement on Form S-8 (File No. 333-266881) and to be a part thereof from the date on which this Report is filed, to the extent not superseded by documents or reports subsequently filed or furnished. Exhibits 99.1 and 99.2 to this Report are being furnished and shall not be deemed “filed” for purposes of Section 18 of the Securities Exchange Act of 1934 (the “Exchange Act”) or otherwise subject to the liabilities of that section, nor shall the be deemed incorporated by reference in any filing under the Securities Act of 1933 or the Exchange 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Acceptance of BLA for AV16</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June 8, 2026, the Company issued a press release announcing that its Biologics License Application (“BLA”) for AVT16, a proposed interchangeable biosimilar to Entyvio® (vedolizumab) lyophilized vial for intravenous administration, has been accepted for review by the U.S. Food and Drug Administration. The Company expects a review period of up to six months from the date of submission of the BLA. Under a partnership with Teva Pharmaceutical Industries Ltd. (“Teva”), the Company is responsible for development and manufacturing of AVT16, while Teva is responsible for commercialization. A copy of the press release is furnished herewith as Exhibit 99.1.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Q1 2026 Financial Results</w:t>
      </w:r>
    </w:p>
    <w:p>
      <w:pPr>
        <w:spacing w:after="0" w:line="227"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The Company has released a copy of its unaudited condensed consolidated interim financial statements, and the accompanying notes thereto, for the three months ended March 31, 2026 filed herewith as Exhibit 99.3. A copy of the press release of the Company published on May 6, 2026 relating to its financial results of three months ended March 31, 2026 is being furnished as Exhibit 99.2.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18"/>
          <w:szCs w:val="18"/>
          <w:color w:val="auto"/>
        </w:rPr>
        <w:t>Statements contained in this Report regarding matters, events or results that may occur in the future are “forward-looking statements” within the meaning of the Private Securities Litigation Reform Act of 1995. Such forward-looking statements include, without limitation, statements about the timing and likelihood of regulatory filings and approvals for AVT16, including potential approval of AVT16 by the U.S. Food and Drug Administration. Because such statements are subject to risks and uncertainties, actual results may differ materially from those expressed or implied by such forward-looking statements. Words such as “expects,” “plans,” and similar expressions are intended to identify forward-looking statements. These forward-looking statements are based upon the Company’s current expectations and involve assumptions that may never materialize or may prove to be incorrect. Actual results could differ materially from those anticipated in such forward-looking statements as a result of various risks and uncertainties, which include, without limitation, risks related to the regulatory approval process, risks and uncertainties associated with the Company’s business in general, the impact of macroeconomic and geopolitical events and the other risks described in the Company’s filings with the U.S. Securities and Exchange Commission. All forward-looking statements contained in this Report speak only as of the date on which they were made and are based on management’s assumptions and estimates as of such date. The Company undertakes no obligation to update such statements to reflect events that occur or circumstances that exist after the date on which they were made,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60"/>
          </w:cols>
          <w:pgMar w:left="320" w:top="576" w:right="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600" w:type="dxa"/>
            <w:vAlign w:val="bottom"/>
            <w:gridSpan w:val="2"/>
          </w:tcPr>
          <w:p>
            <w:pPr>
              <w:ind w:left="12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91"/>
        </w:trPr>
        <w:tc>
          <w:tcPr>
            <w:tcW w:w="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20" w:type="dxa"/>
            <w:vAlign w:val="bottom"/>
          </w:tcPr>
          <w:p>
            <w:pPr>
              <w:spacing w:after="0"/>
              <w:rPr>
                <w:sz w:val="24"/>
                <w:szCs w:val="24"/>
                <w:color w:val="auto"/>
              </w:rPr>
            </w:pPr>
          </w:p>
        </w:tc>
        <w:tc>
          <w:tcPr>
            <w:tcW w:w="99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96"/>
        </w:trPr>
        <w:tc>
          <w:tcPr>
            <w:tcW w:w="12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Number</w:t>
            </w:r>
          </w:p>
        </w:tc>
        <w:tc>
          <w:tcPr>
            <w:tcW w:w="998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9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Press Release dated June 8, 2026</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9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Press Release dated May 6, 2026</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3</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9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Alvotech Unaudited Condensed Consolidated Interim Financial Statements for First Three Months of 2026 with notes</w:t>
            </w:r>
          </w:p>
        </w:tc>
        <w:tc>
          <w:tcPr>
            <w:tcW w:w="0" w:type="dxa"/>
            <w:vAlign w:val="bottom"/>
          </w:tcPr>
          <w:p>
            <w:pPr>
              <w:spacing w:after="0"/>
              <w:rPr>
                <w:sz w:val="1"/>
                <w:szCs w:val="1"/>
                <w:color w:val="auto"/>
              </w:rPr>
            </w:pPr>
          </w:p>
        </w:tc>
      </w:tr>
      <w:tr>
        <w:trPr>
          <w:trHeight w:val="1485"/>
        </w:trPr>
        <w:tc>
          <w:tcPr>
            <w:tcW w:w="320" w:type="dxa"/>
            <w:vAlign w:val="bottom"/>
            <w:tcBorders>
              <w:top w:val="single" w:sz="8" w:color="0000EE"/>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00" w:type="dxa"/>
            <w:vAlign w:val="bottom"/>
            <w:tcBorders>
              <w:top w:val="single" w:sz="8" w:color="0000EE"/>
              <w:bottom w:val="single" w:sz="8" w:color="auto"/>
            </w:tcBorders>
          </w:tcPr>
          <w:p>
            <w:pPr>
              <w:spacing w:after="0"/>
              <w:rPr>
                <w:sz w:val="24"/>
                <w:szCs w:val="24"/>
                <w:color w:val="auto"/>
              </w:rPr>
            </w:pPr>
          </w:p>
        </w:tc>
        <w:tc>
          <w:tcPr>
            <w:tcW w:w="1480" w:type="dxa"/>
            <w:vAlign w:val="bottom"/>
            <w:tcBorders>
              <w:top w:val="single" w:sz="8" w:color="0000EE"/>
              <w:bottom w:val="single" w:sz="8" w:color="auto"/>
            </w:tcBorders>
          </w:tcPr>
          <w:p>
            <w:pPr>
              <w:spacing w:after="0"/>
              <w:rPr>
                <w:sz w:val="24"/>
                <w:szCs w:val="24"/>
                <w:color w:val="auto"/>
              </w:rPr>
            </w:pPr>
          </w:p>
        </w:tc>
        <w:tc>
          <w:tcPr>
            <w:tcW w:w="6120" w:type="dxa"/>
            <w:vAlign w:val="bottom"/>
            <w:tcBorders>
              <w:top w:val="single" w:sz="8" w:color="0000EE"/>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Alvotech</w:t>
            </w:r>
          </w:p>
        </w:tc>
      </w:tr>
      <w:tr>
        <w:trPr>
          <w:trHeight w:val="228"/>
        </w:trPr>
        <w:tc>
          <w:tcPr>
            <w:tcW w:w="5620" w:type="dxa"/>
            <w:vAlign w:val="bottom"/>
          </w:tcPr>
          <w:p>
            <w:pPr>
              <w:spacing w:after="0"/>
              <w:rPr>
                <w:sz w:val="19"/>
                <w:szCs w:val="19"/>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June 8, 2026</w:t>
            </w:r>
          </w:p>
        </w:tc>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Tanya Zharov</w:t>
            </w:r>
          </w:p>
        </w:tc>
      </w:tr>
      <w:tr>
        <w:trPr>
          <w:trHeight w:val="191"/>
        </w:trPr>
        <w:tc>
          <w:tcPr>
            <w:tcW w:w="5620" w:type="dxa"/>
            <w:vAlign w:val="bottom"/>
          </w:tcPr>
          <w:p>
            <w:pPr>
              <w:spacing w:after="0"/>
              <w:rPr>
                <w:sz w:val="16"/>
                <w:szCs w:val="16"/>
                <w:color w:val="auto"/>
              </w:rPr>
            </w:pPr>
          </w:p>
        </w:tc>
        <w:tc>
          <w:tcPr>
            <w:tcW w:w="56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Tanya Zharov</w:t>
            </w:r>
          </w:p>
        </w:tc>
      </w:tr>
      <w:tr>
        <w:trPr>
          <w:trHeight w:val="234"/>
        </w:trPr>
        <w:tc>
          <w:tcPr>
            <w:tcW w:w="5620" w:type="dxa"/>
            <w:vAlign w:val="bottom"/>
          </w:tcPr>
          <w:p>
            <w:pPr>
              <w:spacing w:after="0"/>
              <w:rPr>
                <w:sz w:val="20"/>
                <w:szCs w:val="20"/>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General Counsel</w:t>
            </w:r>
          </w:p>
        </w:tc>
      </w:tr>
    </w:tbl>
    <w:p>
      <w:pPr>
        <w:sectPr>
          <w:pgSz w:w="11900" w:h="16838" w:orient="portrait"/>
          <w:cols w:equalWidth="0" w:num="1">
            <w:col w:w="11240"/>
          </w:cols>
          <w:pgMar w:left="320" w:top="576" w:right="339" w:bottom="1440" w:gutter="0" w:footer="0" w:header="0"/>
        </w:sectPr>
      </w:pPr>
    </w:p>
    <w:bookmarkStart w:id="4" w:name="page5"/>
    <w:bookmarkEnd w:id="4"/>
    <w:p>
      <w:pPr>
        <w:ind w:left="101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27" w:lineRule="exact"/>
        <w:rPr>
          <w:sz w:val="20"/>
          <w:szCs w:val="20"/>
          <w:color w:val="auto"/>
        </w:rPr>
      </w:pPr>
    </w:p>
    <w:p>
      <w:pPr>
        <w:jc w:val="center"/>
        <w:ind w:left="340" w:right="80"/>
        <w:spacing w:after="0" w:line="262" w:lineRule="auto"/>
        <w:rPr>
          <w:sz w:val="20"/>
          <w:szCs w:val="20"/>
          <w:color w:val="auto"/>
        </w:rPr>
      </w:pPr>
      <w:r>
        <w:rPr>
          <w:rFonts w:ascii="Times New Roman" w:cs="Times New Roman" w:eastAsia="Times New Roman" w:hAnsi="Times New Roman"/>
          <w:sz w:val="22"/>
          <w:szCs w:val="22"/>
          <w:b w:val="1"/>
          <w:bCs w:val="1"/>
          <w:color w:val="auto"/>
        </w:rPr>
        <w:t>Alvotech announces FDA acceptance of Biologics License Application for AVT16, a proposed interchangeable biosimilar to Entyvio®</w:t>
      </w:r>
    </w:p>
    <w:p>
      <w:pPr>
        <w:spacing w:after="0" w:line="154"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21"/>
          <w:szCs w:val="21"/>
          <w:color w:val="auto"/>
        </w:rPr>
        <w:t>REYKJAVIK, Iceland, June 08, 2026 (GLOBE NEWSWIRE) -- Alvotech (NASDAQ: ALVO; ALVO-SDB), a global biotechnology company specializing in the development and manufacture of biosimilar medicines for patients worldwide, today announced that the U.S. Food and Drug Administration (FDA) has accepted for review a Biologics License Application (BLA)</w:t>
      </w:r>
    </w:p>
    <w:p>
      <w:pPr>
        <w:spacing w:after="0"/>
        <w:rPr>
          <w:sz w:val="20"/>
          <w:szCs w:val="20"/>
          <w:color w:val="auto"/>
        </w:rPr>
      </w:pPr>
      <w:r>
        <w:rPr>
          <w:rFonts w:ascii="Times New Roman" w:cs="Times New Roman" w:eastAsia="Times New Roman" w:hAnsi="Times New Roman"/>
          <w:sz w:val="22"/>
          <w:szCs w:val="22"/>
          <w:color w:val="auto"/>
        </w:rPr>
        <w:t>for AVT16, a proposed interchangeable biosimilar to Entyvio</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(vedolizumab) lyophilized vial for intravenous administration.</w:t>
      </w:r>
    </w:p>
    <w:p>
      <w:pPr>
        <w:spacing w:after="0" w:line="81" w:lineRule="exact"/>
        <w:rPr>
          <w:sz w:val="20"/>
          <w:szCs w:val="20"/>
          <w:color w:val="auto"/>
        </w:rPr>
      </w:pPr>
    </w:p>
    <w:p>
      <w:pPr>
        <w:ind w:right="1100"/>
        <w:spacing w:after="0" w:line="258" w:lineRule="auto"/>
        <w:rPr>
          <w:sz w:val="20"/>
          <w:szCs w:val="20"/>
          <w:color w:val="auto"/>
        </w:rPr>
      </w:pPr>
      <w:r>
        <w:rPr>
          <w:rFonts w:ascii="Times New Roman" w:cs="Times New Roman" w:eastAsia="Times New Roman" w:hAnsi="Times New Roman"/>
          <w:sz w:val="22"/>
          <w:szCs w:val="22"/>
          <w:color w:val="auto"/>
        </w:rPr>
        <w:t>Under a partnership with Teva Pharmaceutical Industries Ltd. (NYSE and TASE: TEVA), Alvotech is responsible for development and manufacturing of AVT16, while Teva is responsible for commercialization.</w:t>
      </w:r>
    </w:p>
    <w:p>
      <w:pPr>
        <w:spacing w:after="0" w:line="158"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“FDA acceptance of the BLA for AVT16 is another important step in advancing our mission to increase access to biologic medicines for patients worldwide,” said Joseph McClellan, Chief Operating Officer of Alvotech. “Our proposed interchangeable biosimilar to Entyvio builds on our experience in immunology and reflects the strength of our fully integrated development and manufacturing platform.”</w:t>
      </w:r>
    </w:p>
    <w:p>
      <w:pPr>
        <w:spacing w:after="0" w:line="180"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Entyvio is a biologic medicine approved for the treatment of adults with moderately to severely active ulcerative colitis and Crohn’s disease.</w:t>
      </w:r>
    </w:p>
    <w:p>
      <w:pPr>
        <w:spacing w:after="0" w:line="15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AVT16 is among Alvotech’s disclosed biosimilar candidates in immunology and form part of the company’s broader pipeline of biosimilar candidates aimed at expanding access to biologic medicines in major therapeutic areas.</w:t>
      </w:r>
    </w:p>
    <w:p>
      <w:pPr>
        <w:spacing w:after="0" w:line="15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The BLA submission is supported by a comprehensive data package, including analytical, pharmacokinetic, and immunogenicity data generated to support the demonstration of biosimilarity between AVT16 and the reference product.</w:t>
      </w:r>
    </w:p>
    <w:p>
      <w:pPr>
        <w:spacing w:after="0" w:line="15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1"/>
          <w:szCs w:val="21"/>
          <w:color w:val="auto"/>
        </w:rPr>
        <w:t>AVT16 has been submitted as a proposed interchangeable biosimilar. In the United States, an interchangeable biosimilar may be substituted for the reference product at the pharmacy without the intervention of the prescriber, subject to applicable laws. If approved, AVT16 would add to the range of biosimilar options available to patients and healthcare providers in the United States.</w:t>
      </w:r>
    </w:p>
    <w:p>
      <w:pPr>
        <w:spacing w:after="0" w:line="15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In February 2026, Alvotech announced positive results from a pivotal pharmacokinetic study for AVT80, a proposed biosimilar to Entyvio for subcutaneous administration. The randomized, double-blind, single-dose, parallel-group, three-arm study compared AVT80 to Entyvio in healthy adult participants and met all its primary endpoints. Based on regulatory advice, the clinical study is considered pivotal to support the demonstration of clinical similarity for both AVT16 and AVT80.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AVT16</w:t>
      </w:r>
    </w:p>
    <w:p>
      <w:pPr>
        <w:spacing w:after="0" w:line="219" w:lineRule="exact"/>
        <w:rPr>
          <w:sz w:val="20"/>
          <w:szCs w:val="20"/>
          <w:color w:val="auto"/>
        </w:rPr>
      </w:pPr>
    </w:p>
    <w:p>
      <w:pPr>
        <w:ind w:right="180"/>
        <w:spacing w:after="0" w:line="220" w:lineRule="auto"/>
        <w:rPr>
          <w:sz w:val="20"/>
          <w:szCs w:val="20"/>
          <w:color w:val="auto"/>
        </w:rPr>
      </w:pPr>
      <w:r>
        <w:rPr>
          <w:rFonts w:ascii="Times New Roman" w:cs="Times New Roman" w:eastAsia="Times New Roman" w:hAnsi="Times New Roman"/>
          <w:sz w:val="22"/>
          <w:szCs w:val="22"/>
          <w:color w:val="auto"/>
        </w:rPr>
        <w:t>AVT16 is a proposed interchangeable biosimilar candidate to Entyvio</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(vedolizumab), a humanized monoclonal antibody. AVT16 is being developed as a lyophilized vial for intravenous administration. In the European Union, the European Medicines Agency has validated a Marketing Authorization Application covering both AVT16 (lyophilized vial) and AVT80 (pre-filled syringe and auto-injector). AVT16 and AVT80 are investigational products and have not received regulatory approval in any markets.</w:t>
      </w:r>
    </w:p>
    <w:p>
      <w:pPr>
        <w:spacing w:after="0" w:line="179" w:lineRule="exact"/>
        <w:rPr>
          <w:sz w:val="20"/>
          <w:szCs w:val="20"/>
          <w:color w:val="auto"/>
        </w:rPr>
      </w:pPr>
    </w:p>
    <w:p>
      <w:pPr>
        <w:ind w:right="1860"/>
        <w:spacing w:after="0" w:line="359" w:lineRule="auto"/>
        <w:rPr>
          <w:sz w:val="20"/>
          <w:szCs w:val="20"/>
          <w:color w:val="auto"/>
        </w:rPr>
      </w:pPr>
      <w:r>
        <w:rPr>
          <w:rFonts w:ascii="Times New Roman" w:cs="Times New Roman" w:eastAsia="Times New Roman" w:hAnsi="Times New Roman"/>
          <w:sz w:val="22"/>
          <w:szCs w:val="22"/>
          <w:color w:val="auto"/>
        </w:rPr>
        <w:t xml:space="preserve">Biosimilarity and interchangeability have not been established by regulatory authorities and are not claimed. </w:t>
      </w:r>
      <w:r>
        <w:rPr>
          <w:rFonts w:ascii="Times New Roman" w:cs="Times New Roman" w:eastAsia="Times New Roman" w:hAnsi="Times New Roman"/>
          <w:sz w:val="22"/>
          <w:szCs w:val="22"/>
          <w:b w:val="1"/>
          <w:bCs w:val="1"/>
          <w:color w:val="auto"/>
        </w:rPr>
        <w:t>About Entyvio</w:t>
      </w:r>
      <w:r>
        <w:rPr>
          <w:rFonts w:ascii="Times New Roman" w:cs="Times New Roman" w:eastAsia="Times New Roman" w:hAnsi="Times New Roman"/>
          <w:sz w:val="35"/>
          <w:szCs w:val="35"/>
          <w:b w:val="1"/>
          <w:bCs w:val="1"/>
          <w:color w:val="auto"/>
          <w:vertAlign w:val="superscript"/>
        </w:rPr>
        <w:t>®</w:t>
      </w:r>
    </w:p>
    <w:p>
      <w:pPr>
        <w:spacing w:after="0" w:line="1" w:lineRule="exact"/>
        <w:rPr>
          <w:sz w:val="20"/>
          <w:szCs w:val="20"/>
          <w:color w:val="auto"/>
        </w:rPr>
      </w:pPr>
    </w:p>
    <w:p>
      <w:pPr>
        <w:ind w:right="40"/>
        <w:spacing w:after="0" w:line="214" w:lineRule="auto"/>
        <w:rPr>
          <w:sz w:val="20"/>
          <w:szCs w:val="20"/>
          <w:color w:val="auto"/>
        </w:rPr>
      </w:pPr>
      <w:r>
        <w:rPr>
          <w:rFonts w:ascii="Times New Roman" w:cs="Times New Roman" w:eastAsia="Times New Roman" w:hAnsi="Times New Roman"/>
          <w:sz w:val="22"/>
          <w:szCs w:val="22"/>
          <w:color w:val="auto"/>
        </w:rPr>
        <w:t>Entyvio</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(vedolizumab) is an integrin receptor antagonist indicated for the treatment of adults with moderately to severely active ulcerative colitis and Crohn’s disease. Vedolizumab targets and binds specifically to the alpha-4-beta-7 integrin, which is involved in the migration of certain white blood cells into gastrointestinal tissue.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Use of trademarks</w:t>
      </w:r>
    </w:p>
    <w:p>
      <w:pPr>
        <w:spacing w:after="0" w:line="219" w:lineRule="exact"/>
        <w:rPr>
          <w:sz w:val="20"/>
          <w:szCs w:val="20"/>
          <w:color w:val="auto"/>
        </w:rPr>
      </w:pPr>
    </w:p>
    <w:p>
      <w:pPr>
        <w:ind w:right="380"/>
        <w:spacing w:after="0" w:line="208" w:lineRule="auto"/>
        <w:rPr>
          <w:sz w:val="20"/>
          <w:szCs w:val="20"/>
          <w:color w:val="auto"/>
        </w:rPr>
      </w:pPr>
      <w:r>
        <w:rPr>
          <w:rFonts w:ascii="Times New Roman" w:cs="Times New Roman" w:eastAsia="Times New Roman" w:hAnsi="Times New Roman"/>
          <w:sz w:val="22"/>
          <w:szCs w:val="22"/>
          <w:color w:val="auto"/>
        </w:rPr>
        <w:t>Entyvio</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is a registered trademark of Millennium Pharmaceuticals, Inc. The use of this trademark is solely for the purpose of identifying the reference product. Alvotech and Teva do not claim any rights to the trademark.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further information, contact: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Benedikt Stefansson</w:t>
      </w:r>
    </w:p>
    <w:p>
      <w:pPr>
        <w:spacing w:after="0" w:line="230" w:lineRule="auto"/>
        <w:rPr>
          <w:sz w:val="20"/>
          <w:szCs w:val="20"/>
          <w:color w:val="auto"/>
        </w:rPr>
      </w:pPr>
      <w:r>
        <w:rPr>
          <w:rFonts w:ascii="Times New Roman" w:cs="Times New Roman" w:eastAsia="Times New Roman" w:hAnsi="Times New Roman"/>
          <w:sz w:val="22"/>
          <w:szCs w:val="22"/>
          <w:color w:val="auto"/>
        </w:rPr>
        <w:t>Sarah MacLeod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alvotech.media@alvotech.com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Dr. Balaji V Prasad</w:t>
      </w:r>
    </w:p>
    <w:p>
      <w:pPr>
        <w:spacing w:after="0" w:line="230" w:lineRule="auto"/>
        <w:rPr>
          <w:sz w:val="20"/>
          <w:szCs w:val="20"/>
          <w:color w:val="auto"/>
        </w:rPr>
      </w:pPr>
      <w:r>
        <w:rPr>
          <w:rFonts w:ascii="Times New Roman" w:cs="Times New Roman" w:eastAsia="Times New Roman" w:hAnsi="Times New Roman"/>
          <w:sz w:val="22"/>
          <w:szCs w:val="22"/>
          <w:color w:val="auto"/>
        </w:rPr>
        <w:t>Benedikt Stefansson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alvotech.ir@alvotech.com</w:t>
      </w:r>
    </w:p>
    <w:p>
      <w:pPr>
        <w:sectPr>
          <w:pgSz w:w="11900" w:h="16838" w:orient="portrait"/>
          <w:cols w:equalWidth="0" w:num="1">
            <w:col w:w="11240"/>
          </w:cols>
          <w:pgMar w:left="320" w:top="117" w:right="33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About Alvotech</w:t>
      </w:r>
    </w:p>
    <w:p>
      <w:pPr>
        <w:spacing w:after="0" w:line="1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Alvotech is a biotechnology company, founded by Robert Wessman, focused solely on the development and manufacture of biosimilar medicines for patients worldwide. Alvotech seeks to be a global leader in biosimilars by delivering high-quality, cost-effective products and services, enabled by a fully integrated approach and broad in-house capabilities. Five biosimilars are</w:t>
      </w:r>
    </w:p>
    <w:p>
      <w:pPr>
        <w:spacing w:after="0" w:line="182" w:lineRule="auto"/>
        <w:rPr>
          <w:sz w:val="20"/>
          <w:szCs w:val="20"/>
          <w:color w:val="auto"/>
        </w:rPr>
      </w:pPr>
      <w:r>
        <w:rPr>
          <w:rFonts w:ascii="Times New Roman" w:cs="Times New Roman" w:eastAsia="Times New Roman" w:hAnsi="Times New Roman"/>
          <w:sz w:val="21"/>
          <w:szCs w:val="21"/>
          <w:color w:val="auto"/>
        </w:rPr>
        <w:t>already approved and marketed in multiple global markets, including biosimilars to Humira</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21"/>
          <w:szCs w:val="21"/>
          <w:color w:val="auto"/>
        </w:rPr>
        <w:t xml:space="preserve">  (adalimumab),  Stelara</w:t>
      </w:r>
      <w:r>
        <w:rPr>
          <w:rFonts w:ascii="Times New Roman" w:cs="Times New Roman" w:eastAsia="Times New Roman" w:hAnsi="Times New Roman"/>
          <w:sz w:val="34"/>
          <w:szCs w:val="34"/>
          <w:color w:val="auto"/>
          <w:vertAlign w:val="superscript"/>
        </w:rPr>
        <w:t>®</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2"/>
          <w:szCs w:val="22"/>
          <w:color w:val="auto"/>
        </w:rPr>
        <w:t>(ustekinumab), Simponi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(golimumab), Eylea</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(aflibercept) and Prolia</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/Xgeva</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(denosumab). The current development pipeline includes nine disclosed biosimilar candidates aimed at treating autoimmune disorders, eye disorders, osteoporosis, respiratory disease, and cancer. Alvotech has formed a network of strategic commercial partnerships to provide global reach and leverage local expertise in markets that include the United States, Europe, Japan, China, and other Asian countries and large parts of South America, Africa and the Middle East. For more information, please visit https://www.alvotech.com. None of the information on the Alvotech website shall be deemed part of this press release.</w:t>
      </w:r>
    </w:p>
    <w:p>
      <w:pPr>
        <w:spacing w:after="0" w:line="177"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22"/>
          <w:szCs w:val="22"/>
          <w:color w:val="auto"/>
        </w:rPr>
        <w:t>For more information, please visit our investor portal, and our website or follow us on social media on LinkedIn, Facebook, Instagram and YouTube.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Alvotech Forward Looking Statements</w:t>
      </w:r>
    </w:p>
    <w:p>
      <w:pPr>
        <w:spacing w:after="0" w:line="18"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2"/>
          <w:szCs w:val="22"/>
          <w:color w:val="auto"/>
        </w:rPr>
        <w:t>Certain statements in this communication may be considered “forward-looking statements” within the meaning of the Private Securities Litigation Reform Act of 1995, as amended. Forward-looking statements include, for example, Alvotech’s expectations regarding competitive advantages, business prospects and opportunities including pipeline product development, future plans and intentions, regulatory submissions, review and interactions, the potential approval and commercial launch of its product candidates, the timing of regulatory approval, market launches and financial projections. Such forward-looking statements are subject to risks, uncertainties, and other factors which could cause actual results to differ materially from those expressed or implied by such forward-looking statements. These forward-looking statements are based upon estimates and assumptions that, while considered reasonable by Alvotech and its management, are inherently uncertain and are inherently subject to risks, variability, and contingencies, many of which are beyond Alvotech’s control. Factors that may cause actual results to differ materially from current expectations include, but are not limited to factors set forth in the sections entitled “Risk Factors” and “Cautionary Note Regarding Forward-Looking Statements” in documents that Alvotech may from time-to-time file or furnish with the SEC. There may be additional risks that Alvotech does not presently know or that Alvotech currently believes are immaterial that could also cause actual results to differ from those contained in the forward-looking statements. These forward-looking statements are provided for illustrative purposes only and are not intended to serve as, and must not be relied on by an investor as, a guarantee, assurance, prediction or definitive statement of a fact or probability. Alvotech does not undertake any duty to update these forward-looking statements or to inform the recipient of any matters of which any of them becomes aware of which may affect any matter referred to in this communication. Alvotech disclaims any and all liability for any loss or damage (whether foreseeable or not) suffered or incurred by any person or entity as a result of anything contained or omitted from this communication and such liability is expressly disclaimed.</w:t>
      </w:r>
    </w:p>
    <w:p>
      <w:pPr>
        <w:sectPr>
          <w:pgSz w:w="11900" w:h="16838" w:orient="portrait"/>
          <w:cols w:equalWidth="0" w:num="1">
            <w:col w:w="11240"/>
          </w:cols>
          <w:pgMar w:left="320" w:top="108"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1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auto"/>
        </w:rPr>
        <w:t>Alvotech Q1 2026 Financial Results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REYKJAVIK, Iceland, May 06, 2026 (GLOBE NEWSWIRE) --</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Alvotech (NASDAQ US: ALVO, ICELAND: ALVO, STOCKHOLM: ALVO SDB)</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Highlights</w:t>
      </w:r>
    </w:p>
    <w:p>
      <w:pPr>
        <w:spacing w:after="0" w:line="176" w:lineRule="exact"/>
        <w:rPr>
          <w:sz w:val="20"/>
          <w:szCs w:val="20"/>
          <w:color w:val="auto"/>
        </w:rPr>
      </w:pPr>
    </w:p>
    <w:p>
      <w:pPr>
        <w:ind w:right="300"/>
        <w:spacing w:after="0" w:line="280" w:lineRule="exact"/>
        <w:rPr>
          <w:sz w:val="20"/>
          <w:szCs w:val="20"/>
          <w:color w:val="auto"/>
        </w:rPr>
      </w:pPr>
      <w:r>
        <w:rPr>
          <w:rFonts w:ascii="Times New Roman" w:cs="Times New Roman" w:eastAsia="Times New Roman" w:hAnsi="Times New Roman"/>
          <w:sz w:val="22"/>
          <w:szCs w:val="22"/>
          <w:b w:val="1"/>
          <w:bCs w:val="1"/>
          <w:color w:val="auto"/>
        </w:rPr>
        <w:t>A supplemental long</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form earnings release providing additional operational details and business update for Q1 2026 is available at: https://investors.alvotech.com/earnings-calendar under “Q1 2026 Earnings Call”. The supplemental document is provided solely for reference and is not part of this SEC Form 6</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K. The Form 6</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K should not be read together with, or construed as referring to, the supplemental long</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form release.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Q1 2026 Highlights</w:t>
      </w:r>
    </w:p>
    <w:p>
      <w:pPr>
        <w:spacing w:after="0" w:line="13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Total revenues</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xml:space="preserve"> were $105.9m compared to $132.8m in the same period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-107315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Adjusted EBITDA</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xml:space="preserve"> was $24.4m with Gross Margin of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-174625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i w:val="1"/>
          <w:iCs w:val="1"/>
          <w:color w:val="auto"/>
        </w:rPr>
        <w:t>Post-period end:</w:t>
      </w:r>
    </w:p>
    <w:p>
      <w:pPr>
        <w:spacing w:after="0" w:line="18" w:lineRule="exact"/>
        <w:rPr>
          <w:sz w:val="20"/>
          <w:szCs w:val="20"/>
          <w:color w:val="auto"/>
        </w:rPr>
      </w:pPr>
    </w:p>
    <w:p>
      <w:pPr>
        <w:ind w:left="540" w:right="320"/>
        <w:spacing w:after="0" w:line="199" w:lineRule="auto"/>
        <w:rPr>
          <w:sz w:val="20"/>
          <w:szCs w:val="20"/>
          <w:color w:val="auto"/>
        </w:rPr>
      </w:pPr>
      <w:r>
        <w:rPr>
          <w:rFonts w:ascii="Times New Roman" w:cs="Times New Roman" w:eastAsia="Times New Roman" w:hAnsi="Times New Roman"/>
          <w:sz w:val="22"/>
          <w:szCs w:val="22"/>
          <w:color w:val="auto"/>
        </w:rPr>
        <w:t>Submitted a Marketing Authorization Application to the European Medicines Agency for AVT16 and AVT80, proposed biosimilars to Entyvio</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(vedolizumab)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-295275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340"/>
        <w:spacing w:after="0" w:line="209" w:lineRule="auto"/>
        <w:rPr>
          <w:sz w:val="20"/>
          <w:szCs w:val="20"/>
          <w:color w:val="auto"/>
        </w:rPr>
      </w:pPr>
      <w:r>
        <w:rPr>
          <w:rFonts w:ascii="Times New Roman" w:cs="Times New Roman" w:eastAsia="Times New Roman" w:hAnsi="Times New Roman"/>
          <w:sz w:val="22"/>
          <w:szCs w:val="22"/>
          <w:color w:val="auto"/>
        </w:rPr>
        <w:t>Commenced a pivotal efficacy and safety study for AVT29 for Eylea HD</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in support of a submission in the US in 2028 Entered into a strategic manufacturing agreement with FUJIFILM Biotechnologies, establishing a U.S.-based second source of commercial supply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-421005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-266700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Comments by Lisa Graver, CEO:</w:t>
      </w:r>
    </w:p>
    <w:p>
      <w:pPr>
        <w:spacing w:after="0" w:line="206" w:lineRule="exact"/>
        <w:rPr>
          <w:sz w:val="20"/>
          <w:szCs w:val="20"/>
          <w:color w:val="auto"/>
        </w:rPr>
      </w:pPr>
    </w:p>
    <w:p>
      <w:pPr>
        <w:ind w:right="300"/>
        <w:spacing w:after="0" w:line="246" w:lineRule="auto"/>
        <w:rPr>
          <w:sz w:val="20"/>
          <w:szCs w:val="20"/>
          <w:color w:val="auto"/>
        </w:rPr>
      </w:pPr>
      <w:r>
        <w:rPr>
          <w:rFonts w:ascii="Times New Roman" w:cs="Times New Roman" w:eastAsia="Times New Roman" w:hAnsi="Times New Roman"/>
          <w:sz w:val="22"/>
          <w:szCs w:val="22"/>
          <w:i w:val="1"/>
          <w:iCs w:val="1"/>
          <w:color w:val="auto"/>
        </w:rPr>
        <w:t>“During the quarter, we continued to execute across multiple strategic priorities, including progressing the FDA resubmission process, expanding our commercial portfolio, advancing high-value pipeline programmes, and further strengthening our manufacturing platform.</w:t>
      </w:r>
    </w:p>
    <w:p>
      <w:pPr>
        <w:spacing w:after="0" w:line="16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i w:val="1"/>
          <w:iCs w:val="1"/>
          <w:color w:val="auto"/>
        </w:rPr>
        <w:t>“In recent months, we have implemented several important improvements across our quality systems and operations. Importantly, we have deliberately taken additional time to substantially de-risk future operational and regulatory disruption and to ensure that when we resubmit to the FDA, we do so with a package that fully addresses the agency’s requirements and supports the long-term growth and value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“Both revenues and EBITDA were impacted in the quarter by a slowdown in production related to these facility improvements.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We expect a recovery in product revenues as normal operations resume.</w:t>
      </w:r>
    </w:p>
    <w:p>
      <w:pPr>
        <w:spacing w:after="0" w:line="178"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22"/>
          <w:szCs w:val="22"/>
          <w:i w:val="1"/>
          <w:iCs w:val="1"/>
          <w:color w:val="auto"/>
        </w:rPr>
        <w:t>“Commercially, we continue to see strong underlying demand for biosimilars across our marketed portfolio, including continued momentum for our Humira biosimilar in the U.S. market.</w:t>
      </w:r>
    </w:p>
    <w:p>
      <w:pPr>
        <w:spacing w:after="0" w:line="150" w:lineRule="exact"/>
        <w:rPr>
          <w:sz w:val="20"/>
          <w:szCs w:val="20"/>
          <w:color w:val="auto"/>
        </w:rPr>
      </w:pPr>
    </w:p>
    <w:p>
      <w:pPr>
        <w:jc w:val="both"/>
        <w:ind w:right="480"/>
        <w:spacing w:after="0" w:line="246" w:lineRule="auto"/>
        <w:rPr>
          <w:sz w:val="20"/>
          <w:szCs w:val="20"/>
          <w:color w:val="auto"/>
        </w:rPr>
      </w:pPr>
      <w:r>
        <w:rPr>
          <w:rFonts w:ascii="Times New Roman" w:cs="Times New Roman" w:eastAsia="Times New Roman" w:hAnsi="Times New Roman"/>
          <w:sz w:val="22"/>
          <w:szCs w:val="22"/>
          <w:i w:val="1"/>
          <w:iCs w:val="1"/>
          <w:color w:val="auto"/>
        </w:rPr>
        <w:t>“At the same time, we advanced several important pipeline programmes, including a marketing submission to the European Medicines Agency for our proposed biosimilar to Entyvio, and continued progress with our programme for high-dose Eylea, where the first patients have now been enrolled in a pivotal clinical study.</w:t>
      </w:r>
    </w:p>
    <w:p>
      <w:pPr>
        <w:spacing w:after="0" w:line="167"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2"/>
          <w:szCs w:val="22"/>
          <w:i w:val="1"/>
          <w:iCs w:val="1"/>
          <w:color w:val="auto"/>
        </w:rPr>
        <w:t>“In addition, we have today announced a strategic manufacturing agreement with FUJIFILM Biotechnologies covering multiple products in our portfolio. This is an important step to further strengthen and diversify our manufacturing network that supports the next phase of commercial launches.</w:t>
      </w:r>
    </w:p>
    <w:p>
      <w:pPr>
        <w:spacing w:after="0" w:line="167"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21"/>
          <w:szCs w:val="21"/>
          <w:i w:val="1"/>
          <w:iCs w:val="1"/>
          <w:color w:val="auto"/>
        </w:rPr>
        <w:t>“We remain highly focused on resubmitting our BLAs pending approval with the U.S. FDA in the second quarter. Actions taken since last year strengthen not only the packages for resubmission but also our operational platform more broadly, supporting future pipeline execution. With these improvements, we believe the company is well positioned for its next phase of growth.”</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Outlook for 2026</w:t>
      </w:r>
    </w:p>
    <w:p>
      <w:pPr>
        <w:spacing w:after="0" w:line="21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21"/>
          <w:szCs w:val="21"/>
          <w:color w:val="auto"/>
        </w:rPr>
        <w:t>Management anticipates total revenues to be in the range of $650-$700 million and adjusted EBITDA to be in the range of $180-220 million in 2026. The lower end of the revenue range assumes no revenues from new launches into the U.S. market in 2026.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Invitation to Q1 2026 management presentation: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Join us to listen to the live audio webcast at 8:00 AM EST (12:00 GMT, 13:00 CET) on Thursday, May 7, 2026.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audio webcast will be accessible via the following link:</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https://edge.media-server.com/mmc/p/ppckxq33</w:t>
      </w:r>
    </w:p>
    <w:p>
      <w:pPr>
        <w:sectPr>
          <w:pgSz w:w="11900" w:h="16838" w:orient="portrait"/>
          <w:cols w:equalWidth="0" w:num="1">
            <w:col w:w="11240"/>
          </w:cols>
          <w:pgMar w:left="320" w:top="117" w:right="339" w:bottom="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To participate via telephone in the Q&amp;A session, please register using this link to obtain your PIN: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https://register-conf.media-server.com/register/BIdfe56c21c8d448efb09f3c30405bb00d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Presentation slides for the webcast and other materials are available under “Q1 2026 Earnings Call” at: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https://investors.alvotech.com/earnings-calendar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further information, please contact: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 alvotech.media@alvotech.com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Benedikt Stefansson</w:t>
      </w:r>
    </w:p>
    <w:p>
      <w:pPr>
        <w:spacing w:after="0"/>
        <w:rPr>
          <w:sz w:val="20"/>
          <w:szCs w:val="20"/>
          <w:color w:val="auto"/>
        </w:rPr>
      </w:pPr>
      <w:r>
        <w:rPr>
          <w:rFonts w:ascii="Times New Roman" w:cs="Times New Roman" w:eastAsia="Times New Roman" w:hAnsi="Times New Roman"/>
          <w:sz w:val="22"/>
          <w:szCs w:val="22"/>
          <w:color w:val="auto"/>
        </w:rPr>
        <w:t>Sarah MacLeod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Investors - alvotech.ir@alvotech.com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Dr. Balaji V Prasad</w:t>
      </w:r>
    </w:p>
    <w:p>
      <w:pPr>
        <w:spacing w:after="0"/>
        <w:rPr>
          <w:sz w:val="20"/>
          <w:szCs w:val="20"/>
          <w:color w:val="auto"/>
        </w:rPr>
      </w:pPr>
      <w:r>
        <w:rPr>
          <w:rFonts w:ascii="Times New Roman" w:cs="Times New Roman" w:eastAsia="Times New Roman" w:hAnsi="Times New Roman"/>
          <w:sz w:val="22"/>
          <w:szCs w:val="22"/>
          <w:color w:val="auto"/>
        </w:rPr>
        <w:t>Benedikt Stefansson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information was submitted for publication through the agency of the contact persons.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calendar:</w:t>
      </w:r>
    </w:p>
    <w:p>
      <w:pPr>
        <w:spacing w:after="0" w:line="2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Annual or interim results will be released on the dates specified below, after the close of U.S. markets. An earnings call is held on the following day, after release of the results. Please note that all dates are subject to change.</w:t>
      </w:r>
    </w:p>
    <w:p>
      <w:pPr>
        <w:spacing w:after="0" w:line="166"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22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Quarter</w:t>
            </w:r>
          </w:p>
        </w:tc>
        <w:tc>
          <w:tcPr>
            <w:tcW w:w="44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rPr>
              <w:t>Date of release</w:t>
            </w:r>
          </w:p>
        </w:tc>
        <w:tc>
          <w:tcPr>
            <w:tcW w:w="44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Date of earnings call</w:t>
            </w:r>
          </w:p>
        </w:tc>
      </w:tr>
      <w:tr>
        <w:trPr>
          <w:trHeight w:val="263"/>
        </w:trPr>
        <w:tc>
          <w:tcPr>
            <w:tcW w:w="22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Q2 2026</w:t>
            </w:r>
          </w:p>
        </w:tc>
        <w:tc>
          <w:tcPr>
            <w:tcW w:w="44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August 19, 2026</w:t>
            </w: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August 20, 2026</w:t>
            </w:r>
          </w:p>
        </w:tc>
      </w:tr>
      <w:tr>
        <w:trPr>
          <w:trHeight w:val="263"/>
        </w:trPr>
        <w:tc>
          <w:tcPr>
            <w:tcW w:w="22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Q3 2026</w:t>
            </w:r>
          </w:p>
        </w:tc>
        <w:tc>
          <w:tcPr>
            <w:tcW w:w="44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November 11, 2026</w:t>
            </w: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November 12, 2026</w:t>
            </w:r>
          </w:p>
        </w:tc>
      </w:tr>
      <w:tr>
        <w:trPr>
          <w:trHeight w:val="264"/>
        </w:trPr>
        <w:tc>
          <w:tcPr>
            <w:tcW w:w="22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Q4 2026</w:t>
            </w:r>
          </w:p>
        </w:tc>
        <w:tc>
          <w:tcPr>
            <w:tcW w:w="44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March 10, 2027</w:t>
            </w: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March 11, 2027</w:t>
            </w: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Alvotech</w:t>
      </w:r>
    </w:p>
    <w:p>
      <w:pPr>
        <w:spacing w:after="0" w:line="210" w:lineRule="exact"/>
        <w:rPr>
          <w:sz w:val="20"/>
          <w:szCs w:val="20"/>
          <w:color w:val="auto"/>
        </w:rPr>
      </w:pPr>
    </w:p>
    <w:p>
      <w:pPr>
        <w:jc w:val="both"/>
        <w:ind w:right="480"/>
        <w:spacing w:after="0" w:line="251" w:lineRule="auto"/>
        <w:rPr>
          <w:sz w:val="20"/>
          <w:szCs w:val="20"/>
          <w:color w:val="auto"/>
        </w:rPr>
      </w:pPr>
      <w:r>
        <w:rPr>
          <w:rFonts w:ascii="Times New Roman" w:cs="Times New Roman" w:eastAsia="Times New Roman" w:hAnsi="Times New Roman"/>
          <w:sz w:val="21"/>
          <w:szCs w:val="21"/>
          <w:color w:val="auto"/>
        </w:rPr>
        <w:t>Alvotech is a biotechnology company, founded by Robert Wessman, focused solely on the development and manufacture of biosimilar medicines for patients worldwide. Alvotech seeks to be a global leader in the biosimilar space by delivering high-quality, cost-effective products and services, enabled by a fully integrated approach and broad in-house capabilities. Five</w:t>
      </w:r>
    </w:p>
    <w:p>
      <w:pPr>
        <w:spacing w:after="0" w:line="182" w:lineRule="auto"/>
        <w:rPr>
          <w:sz w:val="20"/>
          <w:szCs w:val="20"/>
          <w:color w:val="auto"/>
        </w:rPr>
      </w:pPr>
      <w:r>
        <w:rPr>
          <w:rFonts w:ascii="Times New Roman" w:cs="Times New Roman" w:eastAsia="Times New Roman" w:hAnsi="Times New Roman"/>
          <w:sz w:val="21"/>
          <w:szCs w:val="21"/>
          <w:color w:val="auto"/>
        </w:rPr>
        <w:t>biosimilars are already approved and marketed in multiple global markets, including biosimilars to Humira</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21"/>
          <w:szCs w:val="21"/>
          <w:color w:val="auto"/>
        </w:rPr>
        <w:t xml:space="preserve"> (adalimumab),</w:t>
      </w:r>
    </w:p>
    <w:p>
      <w:pPr>
        <w:spacing w:after="0" w:line="1" w:lineRule="exact"/>
        <w:rPr>
          <w:sz w:val="20"/>
          <w:szCs w:val="20"/>
          <w:color w:val="auto"/>
        </w:rPr>
      </w:pPr>
    </w:p>
    <w:p>
      <w:pPr>
        <w:ind w:right="440"/>
        <w:spacing w:after="0" w:line="228" w:lineRule="auto"/>
        <w:rPr>
          <w:sz w:val="20"/>
          <w:szCs w:val="20"/>
          <w:color w:val="auto"/>
        </w:rPr>
      </w:pPr>
      <w:r>
        <w:rPr>
          <w:rFonts w:ascii="Times New Roman" w:cs="Times New Roman" w:eastAsia="Times New Roman" w:hAnsi="Times New Roman"/>
          <w:sz w:val="21"/>
          <w:szCs w:val="21"/>
          <w:color w:val="auto"/>
        </w:rPr>
        <w:t>Stelara</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21"/>
          <w:szCs w:val="21"/>
          <w:color w:val="auto"/>
        </w:rPr>
        <w:t xml:space="preserve"> (ustekinumab), Simponi</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21"/>
          <w:szCs w:val="21"/>
          <w:color w:val="auto"/>
        </w:rPr>
        <w:t xml:space="preserve"> (golimumab), Eylea</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21"/>
          <w:szCs w:val="21"/>
          <w:color w:val="auto"/>
        </w:rPr>
        <w:t xml:space="preserve"> (aflibercept) and Prolia</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21"/>
          <w:szCs w:val="21"/>
          <w:color w:val="auto"/>
        </w:rPr>
        <w:t>/Xgeva</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21"/>
          <w:szCs w:val="21"/>
          <w:color w:val="auto"/>
        </w:rPr>
        <w:t xml:space="preserve"> (denosumab). The current development pipeline includes nine disclosed biosimilar candidates aimed at treating autoimmune disorders, eye disorders, osteoporosis, respiratory disease, and cancer. Alvotech has formed a network of strategic commercial partnerships to provide global reach and leverage local expertise in markets that include the United States, Europe, Japan, China, and other Asian countries and large parts of South America, Africa and the Middle East. For more information, please visit https://www.alvotech.com. None of the information on the Alvotech website shall be deemed part of this press release.</w:t>
      </w:r>
    </w:p>
    <w:p>
      <w:pPr>
        <w:spacing w:after="0" w:line="180" w:lineRule="exact"/>
        <w:rPr>
          <w:sz w:val="20"/>
          <w:szCs w:val="20"/>
          <w:color w:val="auto"/>
        </w:rPr>
      </w:pPr>
    </w:p>
    <w:p>
      <w:pPr>
        <w:ind w:right="2660"/>
        <w:spacing w:after="0" w:line="258" w:lineRule="auto"/>
        <w:rPr>
          <w:sz w:val="20"/>
          <w:szCs w:val="20"/>
          <w:color w:val="auto"/>
        </w:rPr>
      </w:pPr>
      <w:r>
        <w:rPr>
          <w:rFonts w:ascii="Times New Roman" w:cs="Times New Roman" w:eastAsia="Times New Roman" w:hAnsi="Times New Roman"/>
          <w:sz w:val="22"/>
          <w:szCs w:val="22"/>
          <w:color w:val="auto"/>
        </w:rPr>
        <w:t>For more information, please visit our investor portal, and our website or follow us on social media on LinkedIn, Facebook, Instagram, and YouTube.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 Looking Statements</w:t>
      </w:r>
    </w:p>
    <w:p>
      <w:pPr>
        <w:spacing w:after="0" w:line="210"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Certain statements in this communication may be considered “forward-looking statements” within the meaning of the Private Securities Litigation Reform Act of 1995, as amended. Forward-looking statements include, for example, Alvotech’s expectations regarding competitive advantages, business prospects and opportunities including pipeline product development, future plans and intentions, regulatory submissions, review and interactions, the potential approval and commercial launch of its product candidates, the timing of regulatory approval, market launches and financial projections. Such forward-looking statements are subject to risks, uncertainties, and other factors which could cause actual results to differ materially from those expressed or implied by such forward-looking statements. These forward-looking statements are based upon estimates and assumptions that, while considered reasonable by Alvotech and its management, are inherently uncertain and are inherently subject to risks, variability, and contingencies, many of which are beyond Alvotech’s control. Factors that may cause actual results to differ materially from current expectations include, but are not limited to factors set forth in the sections entitled “Risk Factors” and “Cautionary Note Regarding Forward-Looking Statements” in documents that Alvotech may from time-to-time file or furnish with the SEC. There may be additional risks that Alvotech does not presently know or that Alvotech currently believes are immaterial that could also cause actual results to differ from those contained in the forward-looking statements. These forward-looking statements are provided for illustrative purposes only and are not intended to serve as, and must not be relied on by an investor as, a guarantee, assurance, prediction or definitive statement of a fact or probability. Alvotech does not undertake any duty to update these forward-looking statements or to inform the recipient of any matters of which any of them becomes aware of which may affect any matter referred to in this communication. Alvotech disclaims any and all liability for any loss or damage (whether foreseeable or not) suffered or incurred by any person or entity as a result of anything contained or omitted from this communication and such liability is expressly disclaimed.</w:t>
      </w:r>
    </w:p>
    <w:p>
      <w:pPr>
        <w:sectPr>
          <w:pgSz w:w="11900" w:h="16838" w:orient="portrait"/>
          <w:cols w:equalWidth="0" w:num="1">
            <w:col w:w="11240"/>
          </w:cols>
          <w:pgMar w:left="320" w:top="108" w:right="339" w:bottom="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Non IFRS Financial Measures</w:t>
      </w:r>
    </w:p>
    <w:p>
      <w:pPr>
        <w:spacing w:after="0" w:line="21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color w:val="auto"/>
        </w:rPr>
        <w:t>This Presentation may include projections of certain financial measures not presented in accordance with International Financial Reporting Standards (“IFRS”) including, but not limited to, Adjusted Revenues, EBITDA and certain ratios and other metrics derived therefrom. These non-IFRS financial measures are not measures of financial performance in accordance with IFRS and may exclude items that are significant in understanding and assessing the Company’s financial results. Therefore, these measures should not be considered in isolation or as an alternative to net income, cash flows from operations or other measures of profitability, liquidity or performance under IFRS. You should be aware that the Company’s presentation of these measures may not be comparable to similarly-titled measures used by other companies. The Company believes these non-IFRS measures of financial results provide useful information to management and investors regarding certain financial and business trends relating to the Company’s financial condition and results of operations. The Company believes that the use of these non-IFRS financial measures provide an additional tool for investors to use in evaluating ongoing operating results and trends and in comparing the Company’s financial measures with other similar companies, many of which present similar non-IFRS financial measures to investors. These non-IFRS financial measures are subject to inherent limitations as they reflect the exercise of judgments by management about which expense and income are excluded or included in determining these non-IFRS financial measures. Due to the high variability and difficulty in making accurate forecasts and projections of some of the information excluded from these projected measures, together with some of the excluded information not being ascertainable or accessible, the Company is unable to quantify certain amounts that would be required to be included in the most directly comparable IFRS financial measures without unreasonable effort. Consequently, no disclosure of estimated comparable IFRS measures is included and no reconciliation of the forward-looking non-IFRS financial measures is included. For the same reasons, the Company is unable to address the probable significance of the unavailable information, which could be material to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123825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right="220" w:firstLine="8"/>
        <w:spacing w:after="0" w:line="206" w:lineRule="auto"/>
        <w:tabs>
          <w:tab w:leader="none" w:pos="144"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Figures are adjusted to exclude items that are not indicative of our ongoing operating performance. See disclaimer on ‘Non IFRS Financial Measures’ at the end of this press release. As a foreign private issuer, Alvotech is not required to, and does not, prepare or file quarterly financial statements under IFRS or with the SEC. The financial information included in this Form 6-K reflects management’s current estimates and is presented for the purpose of providing an interim business update.</w:t>
      </w:r>
    </w:p>
    <w:p>
      <w:pPr>
        <w:sectPr>
          <w:pgSz w:w="11900" w:h="16838" w:orient="portrait"/>
          <w:cols w:equalWidth="0" w:num="1">
            <w:col w:w="11200"/>
          </w:cols>
          <w:pgMar w:left="320" w:top="108" w:right="37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2"/>
          <w:szCs w:val="22"/>
          <w:b w:val="1"/>
          <w:bCs w:val="1"/>
          <w:color w:val="auto"/>
        </w:rPr>
        <w:t>Exhibit 99.3</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Alvotech</w:t>
      </w:r>
    </w:p>
    <w:p>
      <w:pPr>
        <w:spacing w:after="0" w:line="3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Condensed Consolidated Interim Financial Statements as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31 March 2026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three months ended 31 March 2026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91"/>
        </w:trPr>
        <w:tc>
          <w:tcPr>
            <w:tcW w:w="83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9"/>
              </w:rPr>
              <w:t>Unaudited Condensed Consolidated Interim Statements of Profit or Loss and Other Comprehensive Income or Loss</w:t>
            </w: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F-2</w:t>
            </w:r>
          </w:p>
        </w:tc>
      </w:tr>
      <w:tr>
        <w:trPr>
          <w:trHeight w:val="20"/>
        </w:trPr>
        <w:tc>
          <w:tcPr>
            <w:tcW w:w="5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6"/>
        </w:trPr>
        <w:tc>
          <w:tcPr>
            <w:tcW w:w="83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Interim Statements of Financial Position</w:t>
            </w: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95"/>
              </w:rPr>
              <w:t>F-3 - F-4</w:t>
            </w:r>
          </w:p>
        </w:tc>
      </w:tr>
      <w:tr>
        <w:trPr>
          <w:trHeight w:val="196"/>
        </w:trPr>
        <w:tc>
          <w:tcPr>
            <w:tcW w:w="51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Condensed Consolidated Interim Statements of Cash Flows</w:t>
            </w:r>
          </w:p>
        </w:tc>
        <w:tc>
          <w:tcPr>
            <w:tcW w:w="440" w:type="dxa"/>
            <w:vAlign w:val="bottom"/>
            <w:tcBorders>
              <w:top w:val="single" w:sz="8" w:color="0000EE"/>
            </w:tcBorders>
          </w:tcPr>
          <w:p>
            <w:pPr>
              <w:spacing w:after="0"/>
              <w:rPr>
                <w:sz w:val="17"/>
                <w:szCs w:val="17"/>
                <w:color w:val="auto"/>
              </w:rPr>
            </w:pPr>
          </w:p>
        </w:tc>
        <w:tc>
          <w:tcPr>
            <w:tcW w:w="3880" w:type="dxa"/>
            <w:vAlign w:val="bottom"/>
            <w:gridSpan w:val="4"/>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95"/>
              </w:rPr>
              <w:t>F-5 - F-6</w:t>
            </w:r>
          </w:p>
        </w:tc>
      </w:tr>
      <w:tr>
        <w:trPr>
          <w:trHeight w:val="196"/>
        </w:trPr>
        <w:tc>
          <w:tcPr>
            <w:tcW w:w="55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Condensed Consolidated Interim Statements of Changes in Equity</w:t>
            </w:r>
          </w:p>
        </w:tc>
        <w:tc>
          <w:tcPr>
            <w:tcW w:w="3840" w:type="dxa"/>
            <w:vAlign w:val="bottom"/>
            <w:gridSpan w:val="3"/>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F-7</w:t>
            </w:r>
          </w:p>
        </w:tc>
      </w:tr>
      <w:tr>
        <w:trPr>
          <w:trHeight w:val="20"/>
        </w:trPr>
        <w:tc>
          <w:tcPr>
            <w:tcW w:w="55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6"/>
        </w:trPr>
        <w:tc>
          <w:tcPr>
            <w:tcW w:w="56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the Unaudited Condensed Consolidated Interim Financial Statements</w:t>
            </w:r>
          </w:p>
        </w:tc>
        <w:tc>
          <w:tcPr>
            <w:tcW w:w="3780" w:type="dxa"/>
            <w:vAlign w:val="bottom"/>
            <w:gridSpan w:val="2"/>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Borders>
              <w:bottom w:val="single" w:sz="8" w:color="0000EE"/>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w w:val="97"/>
              </w:rPr>
              <w:t>F-8 - F-25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ind w:right="200"/>
        <w:spacing w:after="0" w:line="282" w:lineRule="auto"/>
        <w:rPr>
          <w:sz w:val="20"/>
          <w:szCs w:val="20"/>
          <w:color w:val="auto"/>
        </w:rPr>
      </w:pPr>
      <w:r>
        <w:rPr>
          <w:rFonts w:ascii="Times New Roman" w:cs="Times New Roman" w:eastAsia="Times New Roman" w:hAnsi="Times New Roman"/>
          <w:sz w:val="18"/>
          <w:szCs w:val="18"/>
          <w:color w:val="auto"/>
        </w:rPr>
        <w:t>Unaudited Condensed Consolidated Interim Statements of Profit or Loss and Other Comprehensive Income or Loss for the three months ended 31 March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0" w:type="dxa"/>
            <w:vAlign w:val="bottom"/>
          </w:tcPr>
          <w:p>
            <w:pPr>
              <w:spacing w:after="0"/>
              <w:rPr>
                <w:sz w:val="1"/>
                <w:szCs w:val="1"/>
                <w:color w:val="auto"/>
              </w:rPr>
            </w:pPr>
          </w:p>
        </w:tc>
      </w:tr>
      <w:tr>
        <w:trPr>
          <w:trHeight w:val="238"/>
        </w:trPr>
        <w:tc>
          <w:tcPr>
            <w:tcW w:w="5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USD in thousands, except for per share amounts</w:t>
            </w:r>
          </w:p>
        </w:tc>
        <w:tc>
          <w:tcPr>
            <w:tcW w:w="208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31 March 2026</w:t>
            </w:r>
          </w:p>
        </w:tc>
        <w:tc>
          <w:tcPr>
            <w:tcW w:w="16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31 March 2025</w:t>
            </w:r>
          </w:p>
        </w:tc>
        <w:tc>
          <w:tcPr>
            <w:tcW w:w="0" w:type="dxa"/>
            <w:vAlign w:val="bottom"/>
          </w:tcPr>
          <w:p>
            <w:pPr>
              <w:spacing w:after="0"/>
              <w:rPr>
                <w:sz w:val="1"/>
                <w:szCs w:val="1"/>
                <w:color w:val="auto"/>
              </w:rPr>
            </w:pPr>
          </w:p>
        </w:tc>
      </w:tr>
      <w:tr>
        <w:trPr>
          <w:trHeight w:val="210"/>
        </w:trPr>
        <w:tc>
          <w:tcPr>
            <w:tcW w:w="5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and service revenue</w:t>
            </w:r>
          </w:p>
        </w:tc>
        <w:tc>
          <w:tcPr>
            <w:tcW w:w="2080" w:type="dxa"/>
            <w:vAlign w:val="bottom"/>
            <w:tcBorders>
              <w:top w:val="single" w:sz="8" w:color="CCEEFF"/>
            </w:tcBorders>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5</w:t>
            </w:r>
          </w:p>
        </w:tc>
        <w:tc>
          <w:tcPr>
            <w:tcW w:w="16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51,180</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109,907</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License and other revenue</w:t>
            </w:r>
          </w:p>
        </w:tc>
        <w:tc>
          <w:tcPr>
            <w:tcW w:w="20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5</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54,685</w:t>
            </w:r>
          </w:p>
        </w:tc>
        <w:tc>
          <w:tcPr>
            <w:tcW w:w="120" w:type="dxa"/>
            <w:vAlign w:val="bottom"/>
          </w:tcPr>
          <w:p>
            <w:pPr>
              <w:spacing w:after="0"/>
              <w:rPr>
                <w:sz w:val="18"/>
                <w:szCs w:val="18"/>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22,858</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0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and service revenue</w:t>
            </w:r>
          </w:p>
        </w:tc>
        <w:tc>
          <w:tcPr>
            <w:tcW w:w="20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(46,087)</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(65,447)</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(24,511)</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(38,170)</w:t>
            </w:r>
          </w:p>
        </w:tc>
        <w:tc>
          <w:tcPr>
            <w:tcW w:w="0" w:type="dxa"/>
            <w:vAlign w:val="bottom"/>
          </w:tcPr>
          <w:p>
            <w:pPr>
              <w:spacing w:after="0"/>
              <w:rPr>
                <w:sz w:val="1"/>
                <w:szCs w:val="1"/>
                <w:color w:val="auto"/>
              </w:rPr>
            </w:pPr>
          </w:p>
        </w:tc>
      </w:tr>
      <w:tr>
        <w:trPr>
          <w:trHeight w:val="230"/>
        </w:trPr>
        <w:tc>
          <w:tcPr>
            <w:tcW w:w="5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8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(25,673)</w:t>
            </w: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(18,607)</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0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9,674</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10,582</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20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6</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33,414</w:t>
            </w:r>
          </w:p>
        </w:tc>
        <w:tc>
          <w:tcPr>
            <w:tcW w:w="120" w:type="dxa"/>
            <w:vAlign w:val="bottom"/>
          </w:tcPr>
          <w:p>
            <w:pPr>
              <w:spacing w:after="0"/>
              <w:rPr>
                <w:sz w:val="18"/>
                <w:szCs w:val="18"/>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126,308</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208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6</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(40,807)</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(35,539)</w:t>
            </w:r>
          </w:p>
        </w:tc>
        <w:tc>
          <w:tcPr>
            <w:tcW w:w="0" w:type="dxa"/>
            <w:vAlign w:val="bottom"/>
          </w:tcPr>
          <w:p>
            <w:pPr>
              <w:spacing w:after="0"/>
              <w:rPr>
                <w:sz w:val="1"/>
                <w:szCs w:val="1"/>
                <w:color w:val="auto"/>
              </w:rPr>
            </w:pPr>
          </w:p>
        </w:tc>
      </w:tr>
      <w:tr>
        <w:trPr>
          <w:trHeight w:val="229"/>
        </w:trPr>
        <w:tc>
          <w:tcPr>
            <w:tcW w:w="5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Exchange rate differences</w:t>
            </w:r>
          </w:p>
        </w:tc>
        <w:tc>
          <w:tcPr>
            <w:tcW w:w="208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(7,930)</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Non-operating (loss) / profit</w:t>
            </w:r>
          </w:p>
        </w:tc>
        <w:tc>
          <w:tcPr>
            <w:tcW w:w="2080" w:type="dxa"/>
            <w:vAlign w:val="bottom"/>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(8,688)</w:t>
            </w:r>
          </w:p>
        </w:tc>
        <w:tc>
          <w:tcPr>
            <w:tcW w:w="120" w:type="dxa"/>
            <w:vAlign w:val="bottom"/>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82,839</w:t>
            </w:r>
          </w:p>
        </w:tc>
        <w:tc>
          <w:tcPr>
            <w:tcW w:w="0" w:type="dxa"/>
            <w:vAlign w:val="bottom"/>
          </w:tcPr>
          <w:p>
            <w:pPr>
              <w:spacing w:after="0"/>
              <w:rPr>
                <w:sz w:val="1"/>
                <w:szCs w:val="1"/>
                <w:color w:val="auto"/>
              </w:rPr>
            </w:pP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 before taxes</w:t>
            </w:r>
          </w:p>
        </w:tc>
        <w:tc>
          <w:tcPr>
            <w:tcW w:w="2080" w:type="dxa"/>
            <w:vAlign w:val="bottom"/>
          </w:tcPr>
          <w:p>
            <w:pPr>
              <w:spacing w:after="0"/>
              <w:rPr>
                <w:sz w:val="18"/>
                <w:szCs w:val="18"/>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986</w:t>
            </w:r>
          </w:p>
        </w:tc>
        <w:tc>
          <w:tcPr>
            <w:tcW w:w="120" w:type="dxa"/>
            <w:vAlign w:val="bottom"/>
          </w:tcPr>
          <w:p>
            <w:pPr>
              <w:spacing w:after="0"/>
              <w:rPr>
                <w:sz w:val="18"/>
                <w:szCs w:val="18"/>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93,421</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08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7</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16,259</w:t>
            </w:r>
          </w:p>
        </w:tc>
        <w:tc>
          <w:tcPr>
            <w:tcW w:w="0" w:type="dxa"/>
            <w:vAlign w:val="bottom"/>
          </w:tcPr>
          <w:p>
            <w:pPr>
              <w:spacing w:after="0"/>
              <w:rPr>
                <w:sz w:val="1"/>
                <w:szCs w:val="1"/>
                <w:color w:val="auto"/>
              </w:rPr>
            </w:pPr>
          </w:p>
        </w:tc>
      </w:tr>
      <w:tr>
        <w:trPr>
          <w:trHeight w:val="263"/>
        </w:trPr>
        <w:tc>
          <w:tcPr>
            <w:tcW w:w="5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Profit for the period</w:t>
            </w:r>
          </w:p>
        </w:tc>
        <w:tc>
          <w:tcPr>
            <w:tcW w:w="208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109,680</w:t>
            </w:r>
          </w:p>
        </w:tc>
        <w:tc>
          <w:tcPr>
            <w:tcW w:w="0" w:type="dxa"/>
            <w:vAlign w:val="bottom"/>
          </w:tcPr>
          <w:p>
            <w:pPr>
              <w:spacing w:after="0"/>
              <w:rPr>
                <w:sz w:val="1"/>
                <w:szCs w:val="1"/>
                <w:color w:val="auto"/>
              </w:rPr>
            </w:pPr>
          </w:p>
        </w:tc>
      </w:tr>
      <w:tr>
        <w:trPr>
          <w:trHeight w:val="196"/>
        </w:trPr>
        <w:tc>
          <w:tcPr>
            <w:tcW w:w="5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Other comprehensive (loss) / profit</w:t>
            </w:r>
          </w:p>
        </w:tc>
        <w:tc>
          <w:tcPr>
            <w:tcW w:w="20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Item that will be reclassified to profit or loss in subsequent periods:</w:t>
            </w:r>
          </w:p>
        </w:tc>
        <w:tc>
          <w:tcPr>
            <w:tcW w:w="20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rate differences on translation of foreign operations</w:t>
            </w:r>
          </w:p>
        </w:tc>
        <w:tc>
          <w:tcPr>
            <w:tcW w:w="20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comprehensive profit</w:t>
            </w:r>
          </w:p>
        </w:tc>
        <w:tc>
          <w:tcPr>
            <w:tcW w:w="20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40" w:type="dxa"/>
            <w:vAlign w:val="bottom"/>
            <w:tcBorders>
              <w:bottom w:val="single" w:sz="8" w:color="CCEEFF"/>
            </w:tcBorders>
            <w:vMerge w:val="continue"/>
          </w:tcPr>
          <w:p>
            <w:pPr>
              <w:spacing w:after="0"/>
              <w:rPr>
                <w:sz w:val="20"/>
                <w:szCs w:val="20"/>
                <w:color w:val="auto"/>
              </w:rPr>
            </w:pPr>
          </w:p>
        </w:tc>
        <w:tc>
          <w:tcPr>
            <w:tcW w:w="208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109,921</w:t>
            </w:r>
          </w:p>
        </w:tc>
        <w:tc>
          <w:tcPr>
            <w:tcW w:w="0" w:type="dxa"/>
            <w:vAlign w:val="bottom"/>
          </w:tcPr>
          <w:p>
            <w:pPr>
              <w:spacing w:after="0"/>
              <w:rPr>
                <w:sz w:val="1"/>
                <w:szCs w:val="1"/>
                <w:color w:val="auto"/>
              </w:rPr>
            </w:pPr>
          </w:p>
        </w:tc>
      </w:tr>
      <w:tr>
        <w:trPr>
          <w:trHeight w:val="197"/>
        </w:trPr>
        <w:tc>
          <w:tcPr>
            <w:tcW w:w="5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Profit per share</w:t>
            </w:r>
          </w:p>
        </w:tc>
        <w:tc>
          <w:tcPr>
            <w:tcW w:w="20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Basic profit for the period per share</w:t>
            </w:r>
          </w:p>
        </w:tc>
        <w:tc>
          <w:tcPr>
            <w:tcW w:w="20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8</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18"/>
                <w:szCs w:val="18"/>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43"/>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profit for the period per share</w:t>
            </w:r>
          </w:p>
        </w:tc>
        <w:tc>
          <w:tcPr>
            <w:tcW w:w="2080" w:type="dxa"/>
            <w:vAlign w:val="bottom"/>
            <w:tcBorders>
              <w:bottom w:val="single" w:sz="8" w:color="CCEEFF"/>
            </w:tcBorders>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8</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Interim Financial Statements.</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Unaudited Condensed Consolidated Interim Statements of Financial Position as of 31 March 2026 and 31 December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USD in thousands</w:t>
            </w:r>
          </w:p>
        </w:tc>
        <w:tc>
          <w:tcPr>
            <w:tcW w:w="34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10"/>
        </w:trPr>
        <w:tc>
          <w:tcPr>
            <w:tcW w:w="46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6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31 March</w:t>
            </w:r>
          </w:p>
        </w:tc>
        <w:tc>
          <w:tcPr>
            <w:tcW w:w="15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31 December</w:t>
            </w:r>
          </w:p>
        </w:tc>
      </w:tr>
      <w:tr>
        <w:trPr>
          <w:trHeight w:val="238"/>
        </w:trPr>
        <w:tc>
          <w:tcPr>
            <w:tcW w:w="4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3420" w:type="dxa"/>
            <w:vAlign w:val="bottom"/>
            <w:tcBorders>
              <w:bottom w:val="single" w:sz="8" w:color="CCEEFF"/>
            </w:tcBorders>
          </w:tcPr>
          <w:p>
            <w:pPr>
              <w:ind w:left="228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420" w:type="dxa"/>
            <w:vAlign w:val="bottom"/>
            <w:shd w:val="clear" w:color="auto" w:fill="CCEEFF"/>
          </w:tcPr>
          <w:p>
            <w:pPr>
              <w:jc w:val="center"/>
              <w:ind w:left="1490"/>
              <w:spacing w:after="0"/>
              <w:rPr>
                <w:sz w:val="20"/>
                <w:szCs w:val="20"/>
                <w:color w:val="auto"/>
              </w:rPr>
            </w:pPr>
            <w:r>
              <w:rPr>
                <w:rFonts w:ascii="Times New Roman" w:cs="Times New Roman" w:eastAsia="Times New Roman" w:hAnsi="Times New Roman"/>
                <w:sz w:val="18"/>
                <w:szCs w:val="18"/>
                <w:color w:val="auto"/>
                <w:w w:val="88"/>
              </w:rPr>
              <w:t>9</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360,226</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356,398</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342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10</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135,001</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138,294</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4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12,514</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12,835</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342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88"/>
              </w:rPr>
              <w:t>11</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119,593</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81,834</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3420" w:type="dxa"/>
            <w:vAlign w:val="bottom"/>
            <w:shd w:val="clear" w:color="auto" w:fill="CCEEFF"/>
          </w:tcPr>
          <w:p>
            <w:pPr>
              <w:jc w:val="center"/>
              <w:ind w:left="1490"/>
              <w:spacing w:after="0"/>
              <w:rPr>
                <w:sz w:val="20"/>
                <w:szCs w:val="20"/>
                <w:color w:val="auto"/>
              </w:rPr>
            </w:pPr>
            <w:r>
              <w:rPr>
                <w:rFonts w:ascii="Times New Roman" w:cs="Times New Roman" w:eastAsia="Times New Roman" w:hAnsi="Times New Roman"/>
                <w:sz w:val="18"/>
                <w:szCs w:val="18"/>
                <w:color w:val="auto"/>
                <w:w w:val="88"/>
              </w:rPr>
              <w:t>5</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130,033</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122,934</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342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14,957</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8,578</w:t>
            </w:r>
          </w:p>
        </w:tc>
      </w:tr>
      <w:tr>
        <w:trPr>
          <w:trHeight w:val="22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420" w:type="dxa"/>
            <w:vAlign w:val="bottom"/>
            <w:shd w:val="clear" w:color="auto" w:fill="CCEEFF"/>
          </w:tcPr>
          <w:p>
            <w:pPr>
              <w:jc w:val="center"/>
              <w:ind w:left="1490"/>
              <w:spacing w:after="0"/>
              <w:rPr>
                <w:sz w:val="20"/>
                <w:szCs w:val="20"/>
                <w:color w:val="auto"/>
              </w:rPr>
            </w:pPr>
            <w:r>
              <w:rPr>
                <w:rFonts w:ascii="Times New Roman" w:cs="Times New Roman" w:eastAsia="Times New Roman" w:hAnsi="Times New Roman"/>
                <w:sz w:val="18"/>
                <w:szCs w:val="18"/>
                <w:color w:val="auto"/>
                <w:w w:val="88"/>
              </w:rPr>
              <w:t>7</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192,863</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192,211</w:t>
            </w:r>
          </w:p>
        </w:tc>
      </w:tr>
      <w:tr>
        <w:trPr>
          <w:trHeight w:val="210"/>
        </w:trPr>
        <w:tc>
          <w:tcPr>
            <w:tcW w:w="4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34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965,187</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913,084</w:t>
            </w:r>
          </w:p>
        </w:tc>
      </w:tr>
      <w:tr>
        <w:trPr>
          <w:trHeight w:val="20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4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42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13</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228,017</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220,054</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34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47,820</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69,740</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342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88"/>
              </w:rPr>
              <w:t>5</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58,386</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64,440</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420" w:type="dxa"/>
            <w:vAlign w:val="bottom"/>
            <w:shd w:val="clear" w:color="auto" w:fill="CCEEFF"/>
          </w:tcPr>
          <w:p>
            <w:pPr>
              <w:jc w:val="center"/>
              <w:ind w:left="1510"/>
              <w:spacing w:after="0"/>
              <w:rPr>
                <w:sz w:val="20"/>
                <w:szCs w:val="20"/>
                <w:color w:val="auto"/>
              </w:rPr>
            </w:pPr>
            <w:r>
              <w:rPr>
                <w:rFonts w:ascii="Times New Roman" w:cs="Times New Roman" w:eastAsia="Times New Roman" w:hAnsi="Times New Roman"/>
                <w:sz w:val="18"/>
                <w:szCs w:val="18"/>
                <w:color w:val="auto"/>
                <w:w w:val="99"/>
              </w:rPr>
              <w:t>14</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57,261</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46,984</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Receivables from related parties</w:t>
            </w:r>
          </w:p>
        </w:tc>
        <w:tc>
          <w:tcPr>
            <w:tcW w:w="342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18</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438</w:t>
            </w:r>
          </w:p>
        </w:tc>
      </w:tr>
      <w:tr>
        <w:trPr>
          <w:trHeight w:val="22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20" w:type="dxa"/>
            <w:vAlign w:val="bottom"/>
            <w:shd w:val="clear" w:color="auto" w:fill="CCEEFF"/>
          </w:tcPr>
          <w:p>
            <w:pPr>
              <w:jc w:val="center"/>
              <w:ind w:left="1510"/>
              <w:spacing w:after="0"/>
              <w:rPr>
                <w:sz w:val="20"/>
                <w:szCs w:val="20"/>
                <w:color w:val="auto"/>
              </w:rPr>
            </w:pPr>
            <w:r>
              <w:rPr>
                <w:rFonts w:ascii="Times New Roman" w:cs="Times New Roman" w:eastAsia="Times New Roman" w:hAnsi="Times New Roman"/>
                <w:sz w:val="18"/>
                <w:szCs w:val="18"/>
                <w:color w:val="auto"/>
                <w:w w:val="99"/>
              </w:rPr>
              <w:t>12</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63,832</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172,359</w:t>
            </w:r>
          </w:p>
        </w:tc>
      </w:tr>
      <w:tr>
        <w:trPr>
          <w:trHeight w:val="210"/>
        </w:trPr>
        <w:tc>
          <w:tcPr>
            <w:tcW w:w="4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4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455,981</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574,015</w:t>
            </w:r>
          </w:p>
        </w:tc>
      </w:tr>
      <w:tr>
        <w:trPr>
          <w:trHeight w:val="223"/>
        </w:trPr>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2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1,421,168</w:t>
            </w:r>
          </w:p>
        </w:tc>
        <w:tc>
          <w:tcPr>
            <w:tcW w:w="1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1,487,099</w:t>
            </w:r>
          </w:p>
        </w:tc>
      </w:tr>
      <w:tr>
        <w:trPr>
          <w:trHeight w:val="20"/>
        </w:trPr>
        <w:tc>
          <w:tcPr>
            <w:tcW w:w="46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Interim Financial Statements.</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Unaudited Condensed Consolidated Interim Statements of Financial Position as of 31 March 2026 and 31 December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USD in thousands</w:t>
            </w:r>
          </w:p>
        </w:tc>
        <w:tc>
          <w:tcPr>
            <w:tcW w:w="33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6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6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31 March</w:t>
            </w:r>
          </w:p>
        </w:tc>
        <w:tc>
          <w:tcPr>
            <w:tcW w:w="15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31 December</w:t>
            </w:r>
          </w:p>
        </w:tc>
        <w:tc>
          <w:tcPr>
            <w:tcW w:w="0" w:type="dxa"/>
            <w:vAlign w:val="bottom"/>
          </w:tcPr>
          <w:p>
            <w:pPr>
              <w:spacing w:after="0"/>
              <w:rPr>
                <w:sz w:val="1"/>
                <w:szCs w:val="1"/>
                <w:color w:val="auto"/>
              </w:rPr>
            </w:pPr>
          </w:p>
        </w:tc>
      </w:tr>
      <w:tr>
        <w:trPr>
          <w:trHeight w:val="238"/>
        </w:trPr>
        <w:tc>
          <w:tcPr>
            <w:tcW w:w="4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380" w:type="dxa"/>
            <w:vAlign w:val="bottom"/>
            <w:tcBorders>
              <w:bottom w:val="single" w:sz="8" w:color="CCEEFF"/>
            </w:tcBorders>
          </w:tcPr>
          <w:p>
            <w:pPr>
              <w:ind w:left="224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3380" w:type="dxa"/>
            <w:vAlign w:val="bottom"/>
            <w:shd w:val="clear" w:color="auto" w:fill="CCEEFF"/>
          </w:tcPr>
          <w:p>
            <w:pPr>
              <w:jc w:val="center"/>
              <w:ind w:left="1470"/>
              <w:spacing w:after="0"/>
              <w:rPr>
                <w:sz w:val="20"/>
                <w:szCs w:val="20"/>
                <w:color w:val="auto"/>
              </w:rPr>
            </w:pPr>
            <w:r>
              <w:rPr>
                <w:rFonts w:ascii="Times New Roman" w:cs="Times New Roman" w:eastAsia="Times New Roman" w:hAnsi="Times New Roman"/>
                <w:sz w:val="18"/>
                <w:szCs w:val="18"/>
                <w:color w:val="auto"/>
                <w:w w:val="99"/>
              </w:rPr>
              <w:t>15</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2,930</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2,929</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338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15</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2,106,919</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2,105,691</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reserves</w:t>
            </w:r>
          </w:p>
        </w:tc>
        <w:tc>
          <w:tcPr>
            <w:tcW w:w="33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16,198</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15,331</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Translation reserve</w:t>
            </w:r>
          </w:p>
        </w:tc>
        <w:tc>
          <w:tcPr>
            <w:tcW w:w="338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1,352</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3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(2,408,760)</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(2,409,790)</w:t>
            </w:r>
          </w:p>
        </w:tc>
        <w:tc>
          <w:tcPr>
            <w:tcW w:w="0" w:type="dxa"/>
            <w:vAlign w:val="bottom"/>
          </w:tcPr>
          <w:p>
            <w:pPr>
              <w:spacing w:after="0"/>
              <w:rPr>
                <w:sz w:val="1"/>
                <w:szCs w:val="1"/>
                <w:color w:val="auto"/>
              </w:rPr>
            </w:pPr>
          </w:p>
        </w:tc>
      </w:tr>
      <w:tr>
        <w:trPr>
          <w:trHeight w:val="263"/>
        </w:trPr>
        <w:tc>
          <w:tcPr>
            <w:tcW w:w="4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38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(282,312)</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(284,487)</w:t>
            </w:r>
          </w:p>
        </w:tc>
        <w:tc>
          <w:tcPr>
            <w:tcW w:w="0" w:type="dxa"/>
            <w:vAlign w:val="bottom"/>
          </w:tcPr>
          <w:p>
            <w:pPr>
              <w:spacing w:after="0"/>
              <w:rPr>
                <w:sz w:val="1"/>
                <w:szCs w:val="1"/>
                <w:color w:val="auto"/>
              </w:rPr>
            </w:pPr>
          </w:p>
        </w:tc>
      </w:tr>
      <w:tr>
        <w:trPr>
          <w:trHeight w:val="196"/>
        </w:trPr>
        <w:tc>
          <w:tcPr>
            <w:tcW w:w="46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3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Borrowings</w:t>
            </w:r>
          </w:p>
        </w:tc>
        <w:tc>
          <w:tcPr>
            <w:tcW w:w="338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16</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1,267,117</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1,262,147</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liabilities</w:t>
            </w:r>
          </w:p>
        </w:tc>
        <w:tc>
          <w:tcPr>
            <w:tcW w:w="33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21,763</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53,994</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338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10</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134,524</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137,999</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3380" w:type="dxa"/>
            <w:vAlign w:val="bottom"/>
            <w:shd w:val="clear" w:color="auto" w:fill="CCEEFF"/>
          </w:tcPr>
          <w:p>
            <w:pPr>
              <w:jc w:val="center"/>
              <w:ind w:left="1450"/>
              <w:spacing w:after="0"/>
              <w:rPr>
                <w:sz w:val="20"/>
                <w:szCs w:val="20"/>
                <w:color w:val="auto"/>
              </w:rPr>
            </w:pPr>
            <w:r>
              <w:rPr>
                <w:rFonts w:ascii="Times New Roman" w:cs="Times New Roman" w:eastAsia="Times New Roman" w:hAnsi="Times New Roman"/>
                <w:sz w:val="18"/>
                <w:szCs w:val="18"/>
                <w:color w:val="auto"/>
                <w:w w:val="88"/>
              </w:rPr>
              <w:t>5</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13,128</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5,500</w:t>
            </w:r>
          </w:p>
        </w:tc>
        <w:tc>
          <w:tcPr>
            <w:tcW w:w="0" w:type="dxa"/>
            <w:vAlign w:val="bottom"/>
          </w:tcPr>
          <w:p>
            <w:pPr>
              <w:spacing w:after="0"/>
              <w:rPr>
                <w:sz w:val="1"/>
                <w:szCs w:val="1"/>
                <w:color w:val="auto"/>
              </w:rPr>
            </w:pPr>
          </w:p>
        </w:tc>
      </w:tr>
      <w:tr>
        <w:trPr>
          <w:trHeight w:val="229"/>
        </w:trPr>
        <w:tc>
          <w:tcPr>
            <w:tcW w:w="4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3380" w:type="dxa"/>
            <w:vAlign w:val="bottom"/>
            <w:tcBorders>
              <w:bottom w:val="single" w:sz="8" w:color="CCEEFF"/>
            </w:tcBorders>
          </w:tcPr>
          <w:p>
            <w:pPr>
              <w:jc w:val="center"/>
              <w:ind w:left="1450"/>
              <w:spacing w:after="0"/>
              <w:rPr>
                <w:sz w:val="20"/>
                <w:szCs w:val="20"/>
                <w:color w:val="auto"/>
              </w:rPr>
            </w:pPr>
            <w:r>
              <w:rPr>
                <w:rFonts w:ascii="Times New Roman" w:cs="Times New Roman" w:eastAsia="Times New Roman" w:hAnsi="Times New Roman"/>
                <w:sz w:val="18"/>
                <w:szCs w:val="18"/>
                <w:color w:val="auto"/>
                <w:w w:val="88"/>
              </w:rPr>
              <w:t>7</w:t>
            </w: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7,164</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7,868</w:t>
            </w: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338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1,443,696</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1,467,508</w:t>
            </w:r>
          </w:p>
        </w:tc>
        <w:tc>
          <w:tcPr>
            <w:tcW w:w="0" w:type="dxa"/>
            <w:vAlign w:val="bottom"/>
          </w:tcPr>
          <w:p>
            <w:pPr>
              <w:spacing w:after="0"/>
              <w:rPr>
                <w:sz w:val="1"/>
                <w:szCs w:val="1"/>
                <w:color w:val="auto"/>
              </w:rPr>
            </w:pPr>
          </w:p>
        </w:tc>
      </w:tr>
      <w:tr>
        <w:trPr>
          <w:trHeight w:val="209"/>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33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97,865</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126,124</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338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10</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13,126</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12,078</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maturities of borrowings</w:t>
            </w:r>
          </w:p>
        </w:tc>
        <w:tc>
          <w:tcPr>
            <w:tcW w:w="3380" w:type="dxa"/>
            <w:vAlign w:val="bottom"/>
            <w:shd w:val="clear" w:color="auto" w:fill="CCEEFF"/>
          </w:tcPr>
          <w:p>
            <w:pPr>
              <w:jc w:val="center"/>
              <w:ind w:left="1470"/>
              <w:spacing w:after="0"/>
              <w:rPr>
                <w:sz w:val="20"/>
                <w:szCs w:val="20"/>
                <w:color w:val="auto"/>
              </w:rPr>
            </w:pPr>
            <w:r>
              <w:rPr>
                <w:rFonts w:ascii="Times New Roman" w:cs="Times New Roman" w:eastAsia="Times New Roman" w:hAnsi="Times New Roman"/>
                <w:sz w:val="18"/>
                <w:szCs w:val="18"/>
                <w:color w:val="auto"/>
                <w:w w:val="99"/>
              </w:rPr>
              <w:t>16</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42,514</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36,921</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Liabilities to related parties</w:t>
            </w:r>
          </w:p>
        </w:tc>
        <w:tc>
          <w:tcPr>
            <w:tcW w:w="338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18</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2,377</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3,325</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3380" w:type="dxa"/>
            <w:vAlign w:val="bottom"/>
            <w:shd w:val="clear" w:color="auto" w:fill="CCEEFF"/>
          </w:tcPr>
          <w:p>
            <w:pPr>
              <w:jc w:val="center"/>
              <w:ind w:left="1450"/>
              <w:spacing w:after="0"/>
              <w:rPr>
                <w:sz w:val="20"/>
                <w:szCs w:val="20"/>
                <w:color w:val="auto"/>
              </w:rPr>
            </w:pPr>
            <w:r>
              <w:rPr>
                <w:rFonts w:ascii="Times New Roman" w:cs="Times New Roman" w:eastAsia="Times New Roman" w:hAnsi="Times New Roman"/>
                <w:sz w:val="18"/>
                <w:szCs w:val="18"/>
                <w:color w:val="auto"/>
                <w:w w:val="88"/>
              </w:rPr>
              <w:t>5</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9,547</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30,364</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338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2,048</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380" w:type="dxa"/>
            <w:vAlign w:val="bottom"/>
            <w:shd w:val="clear" w:color="auto" w:fill="CCEEFF"/>
          </w:tcPr>
          <w:p>
            <w:pPr>
              <w:jc w:val="center"/>
              <w:ind w:left="1470"/>
              <w:spacing w:after="0"/>
              <w:rPr>
                <w:sz w:val="20"/>
                <w:szCs w:val="20"/>
                <w:color w:val="auto"/>
              </w:rPr>
            </w:pPr>
            <w:r>
              <w:rPr>
                <w:rFonts w:ascii="Times New Roman" w:cs="Times New Roman" w:eastAsia="Times New Roman" w:hAnsi="Times New Roman"/>
                <w:sz w:val="18"/>
                <w:szCs w:val="18"/>
                <w:color w:val="auto"/>
                <w:w w:val="99"/>
              </w:rPr>
              <w:t>19</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92,307</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94,225</w:t>
            </w:r>
          </w:p>
        </w:tc>
        <w:tc>
          <w:tcPr>
            <w:tcW w:w="0" w:type="dxa"/>
            <w:vAlign w:val="bottom"/>
          </w:tcPr>
          <w:p>
            <w:pPr>
              <w:spacing w:after="0"/>
              <w:rPr>
                <w:sz w:val="1"/>
                <w:szCs w:val="1"/>
                <w:color w:val="auto"/>
              </w:rPr>
            </w:pPr>
          </w:p>
        </w:tc>
      </w:tr>
      <w:tr>
        <w:trPr>
          <w:trHeight w:val="210"/>
        </w:trPr>
        <w:tc>
          <w:tcPr>
            <w:tcW w:w="4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3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259,784</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304,078</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38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1,703,480</w:t>
            </w:r>
          </w:p>
        </w:tc>
        <w:tc>
          <w:tcPr>
            <w:tcW w:w="1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1,771,586</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33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40" w:type="dxa"/>
            <w:vAlign w:val="bottom"/>
            <w:vMerge w:val="continue"/>
          </w:tcPr>
          <w:p>
            <w:pPr>
              <w:spacing w:after="0"/>
              <w:rPr>
                <w:sz w:val="17"/>
                <w:szCs w:val="17"/>
                <w:color w:val="auto"/>
              </w:rPr>
            </w:pPr>
          </w:p>
        </w:tc>
        <w:tc>
          <w:tcPr>
            <w:tcW w:w="3380" w:type="dxa"/>
            <w:vAlign w:val="bottom"/>
          </w:tcPr>
          <w:p>
            <w:pPr>
              <w:spacing w:after="0"/>
              <w:rPr>
                <w:sz w:val="17"/>
                <w:szCs w:val="17"/>
                <w:color w:val="auto"/>
              </w:rPr>
            </w:pPr>
          </w:p>
        </w:tc>
        <w:tc>
          <w:tcPr>
            <w:tcW w:w="156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1,421,168</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1,487,099</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Interim Financial Statements.</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Unaudited Condensed Consolidated Interim Statements of Cash Flows for the three months ended 31 March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USD in thousands</w:t>
            </w:r>
          </w:p>
        </w:tc>
        <w:tc>
          <w:tcPr>
            <w:tcW w:w="29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10"/>
        </w:trPr>
        <w:tc>
          <w:tcPr>
            <w:tcW w:w="49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r>
      <w:tr>
        <w:trPr>
          <w:trHeight w:val="238"/>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980" w:type="dxa"/>
            <w:vAlign w:val="bottom"/>
          </w:tcPr>
          <w:p>
            <w:pPr>
              <w:ind w:left="188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31 March 2026</w:t>
            </w:r>
          </w:p>
        </w:tc>
        <w:tc>
          <w:tcPr>
            <w:tcW w:w="16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31 March 2025</w:t>
            </w:r>
          </w:p>
        </w:tc>
      </w:tr>
      <w:tr>
        <w:trPr>
          <w:trHeight w:val="209"/>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for the period</w:t>
            </w:r>
          </w:p>
        </w:tc>
        <w:tc>
          <w:tcPr>
            <w:tcW w:w="29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109,680</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for non-cash items:</w:t>
            </w:r>
          </w:p>
        </w:tc>
        <w:tc>
          <w:tcPr>
            <w:tcW w:w="29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amortization and impairment</w:t>
            </w:r>
          </w:p>
        </w:tc>
        <w:tc>
          <w:tcPr>
            <w:tcW w:w="29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10,287</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8,259</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Change in inventory reserves</w:t>
            </w:r>
          </w:p>
        </w:tc>
        <w:tc>
          <w:tcPr>
            <w:tcW w:w="298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13</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3,057</w:t>
            </w:r>
          </w:p>
        </w:tc>
        <w:tc>
          <w:tcPr>
            <w:tcW w:w="120" w:type="dxa"/>
            <w:vAlign w:val="bottom"/>
          </w:tcPr>
          <w:p>
            <w:pPr>
              <w:spacing w:after="0"/>
              <w:rPr>
                <w:sz w:val="18"/>
                <w:szCs w:val="18"/>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686</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29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2,344</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1,308</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298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rPr>
              <w:t>6</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(33,414)</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(126,308)</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2980" w:type="dxa"/>
            <w:vAlign w:val="bottom"/>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rPr>
              <w:t>6</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40,807</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35,539</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Exchange rate difference</w:t>
            </w:r>
          </w:p>
        </w:tc>
        <w:tc>
          <w:tcPr>
            <w:tcW w:w="2980" w:type="dxa"/>
            <w:vAlign w:val="bottom"/>
          </w:tcPr>
          <w:p>
            <w:pPr>
              <w:spacing w:after="0"/>
              <w:rPr>
                <w:sz w:val="18"/>
                <w:szCs w:val="18"/>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1,295</w:t>
            </w:r>
          </w:p>
        </w:tc>
        <w:tc>
          <w:tcPr>
            <w:tcW w:w="120" w:type="dxa"/>
            <w:vAlign w:val="bottom"/>
          </w:tcPr>
          <w:p>
            <w:pPr>
              <w:spacing w:after="0"/>
              <w:rPr>
                <w:sz w:val="18"/>
                <w:szCs w:val="18"/>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7,930</w:t>
            </w:r>
          </w:p>
        </w:tc>
      </w:tr>
      <w:tr>
        <w:trPr>
          <w:trHeight w:val="23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980" w:type="dxa"/>
            <w:vAlign w:val="bottom"/>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rPr>
              <w:t>7</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(16,259)</w:t>
            </w:r>
          </w:p>
        </w:tc>
      </w:tr>
      <w:tr>
        <w:trPr>
          <w:trHeight w:val="209"/>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cash flow before movement in working capital</w:t>
            </w:r>
          </w:p>
        </w:tc>
        <w:tc>
          <w:tcPr>
            <w:tcW w:w="2980" w:type="dxa"/>
            <w:vAlign w:val="bottom"/>
          </w:tcPr>
          <w:p>
            <w:pPr>
              <w:spacing w:after="0"/>
              <w:rPr>
                <w:sz w:val="18"/>
                <w:szCs w:val="18"/>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25,362</w:t>
            </w:r>
          </w:p>
        </w:tc>
        <w:tc>
          <w:tcPr>
            <w:tcW w:w="120" w:type="dxa"/>
            <w:vAlign w:val="bottom"/>
          </w:tcPr>
          <w:p>
            <w:pPr>
              <w:spacing w:after="0"/>
              <w:rPr>
                <w:sz w:val="18"/>
                <w:szCs w:val="18"/>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20,835</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inventories</w:t>
            </w:r>
          </w:p>
        </w:tc>
        <w:tc>
          <w:tcPr>
            <w:tcW w:w="2980" w:type="dxa"/>
            <w:vAlign w:val="bottom"/>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9"/>
              </w:rPr>
              <w:t>13</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(11,020)</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(14,871)</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Decrease in trade receivables</w:t>
            </w:r>
          </w:p>
        </w:tc>
        <w:tc>
          <w:tcPr>
            <w:tcW w:w="2980" w:type="dxa"/>
            <w:vAlign w:val="bottom"/>
          </w:tcPr>
          <w:p>
            <w:pPr>
              <w:spacing w:after="0"/>
              <w:rPr>
                <w:sz w:val="18"/>
                <w:szCs w:val="18"/>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21,920</w:t>
            </w:r>
          </w:p>
        </w:tc>
        <w:tc>
          <w:tcPr>
            <w:tcW w:w="120" w:type="dxa"/>
            <w:vAlign w:val="bottom"/>
          </w:tcPr>
          <w:p>
            <w:pPr>
              <w:spacing w:after="0"/>
              <w:rPr>
                <w:sz w:val="18"/>
                <w:szCs w:val="18"/>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9,028</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receivables with related parties</w:t>
            </w:r>
          </w:p>
        </w:tc>
        <w:tc>
          <w:tcPr>
            <w:tcW w:w="2980" w:type="dxa"/>
            <w:vAlign w:val="bottom"/>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9"/>
              </w:rPr>
              <w:t>18</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(Increase) / decrease in contract assets</w:t>
            </w:r>
          </w:p>
        </w:tc>
        <w:tc>
          <w:tcPr>
            <w:tcW w:w="298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rPr>
              <w:t>5</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20" w:type="dxa"/>
            <w:vAlign w:val="bottom"/>
          </w:tcPr>
          <w:p>
            <w:pPr>
              <w:spacing w:after="0"/>
              <w:rPr>
                <w:sz w:val="18"/>
                <w:szCs w:val="18"/>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18,498</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other assets</w:t>
            </w:r>
          </w:p>
        </w:tc>
        <w:tc>
          <w:tcPr>
            <w:tcW w:w="2980" w:type="dxa"/>
            <w:vAlign w:val="bottom"/>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9"/>
              </w:rPr>
              <w:t>14</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(8,157)</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(Decrease) / increase in trade and other payables</w:t>
            </w:r>
          </w:p>
        </w:tc>
        <w:tc>
          <w:tcPr>
            <w:tcW w:w="29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(34,339)</w:t>
            </w:r>
          </w:p>
        </w:tc>
        <w:tc>
          <w:tcPr>
            <w:tcW w:w="120" w:type="dxa"/>
            <w:vAlign w:val="bottom"/>
          </w:tcPr>
          <w:p>
            <w:pPr>
              <w:spacing w:after="0"/>
              <w:rPr>
                <w:sz w:val="18"/>
                <w:szCs w:val="18"/>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3,808</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contract liabilities</w:t>
            </w:r>
          </w:p>
        </w:tc>
        <w:tc>
          <w:tcPr>
            <w:tcW w:w="2980" w:type="dxa"/>
            <w:vAlign w:val="bottom"/>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rPr>
              <w:t>5</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(12,871)</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(Decrease) in liabilities with related parties</w:t>
            </w:r>
          </w:p>
        </w:tc>
        <w:tc>
          <w:tcPr>
            <w:tcW w:w="298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18</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(3,738)</w:t>
            </w:r>
          </w:p>
        </w:tc>
      </w:tr>
      <w:tr>
        <w:trPr>
          <w:trHeight w:val="229"/>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other liabilities</w:t>
            </w:r>
          </w:p>
        </w:tc>
        <w:tc>
          <w:tcPr>
            <w:tcW w:w="2980" w:type="dxa"/>
            <w:vAlign w:val="bottom"/>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9"/>
              </w:rPr>
              <w:t>19</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(12,410)</w:t>
            </w:r>
          </w:p>
        </w:tc>
      </w:tr>
      <w:tr>
        <w:trPr>
          <w:trHeight w:val="209"/>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(used in) / from operations</w:t>
            </w:r>
          </w:p>
        </w:tc>
        <w:tc>
          <w:tcPr>
            <w:tcW w:w="29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(25,246)</w:t>
            </w:r>
          </w:p>
        </w:tc>
        <w:tc>
          <w:tcPr>
            <w:tcW w:w="120" w:type="dxa"/>
            <w:vAlign w:val="bottom"/>
          </w:tcPr>
          <w:p>
            <w:pPr>
              <w:spacing w:after="0"/>
              <w:rPr>
                <w:sz w:val="18"/>
                <w:szCs w:val="18"/>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17,385</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29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29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(35,041)</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(4,831)</w:t>
            </w:r>
          </w:p>
        </w:tc>
      </w:tr>
      <w:tr>
        <w:trPr>
          <w:trHeight w:val="23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paid</w:t>
            </w:r>
          </w:p>
        </w:tc>
        <w:tc>
          <w:tcPr>
            <w:tcW w:w="298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0"/>
        </w:trPr>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 provided by operating activities</w:t>
            </w:r>
          </w:p>
        </w:tc>
        <w:tc>
          <w:tcPr>
            <w:tcW w:w="298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(60,429)</w:t>
            </w:r>
          </w:p>
        </w:tc>
        <w:tc>
          <w:tcPr>
            <w:tcW w:w="12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12,549</w:t>
            </w:r>
          </w:p>
        </w:tc>
      </w:tr>
      <w:tr>
        <w:trPr>
          <w:trHeight w:val="21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9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298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rPr>
              <w:t>9</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(7,142)</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(23,187)</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intangible assets</w:t>
            </w:r>
          </w:p>
        </w:tc>
        <w:tc>
          <w:tcPr>
            <w:tcW w:w="2980" w:type="dxa"/>
            <w:vAlign w:val="bottom"/>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9"/>
              </w:rPr>
              <w:t>11</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(39,053)</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3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sale in joint venture</w:t>
            </w:r>
          </w:p>
        </w:tc>
        <w:tc>
          <w:tcPr>
            <w:tcW w:w="2980" w:type="dxa"/>
            <w:vAlign w:val="bottom"/>
          </w:tcPr>
          <w:p>
            <w:pPr>
              <w:spacing w:after="0"/>
              <w:rPr>
                <w:sz w:val="19"/>
                <w:szCs w:val="19"/>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2,975</w:t>
            </w:r>
          </w:p>
        </w:tc>
      </w:tr>
      <w:tr>
        <w:trPr>
          <w:trHeight w:val="210"/>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9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(46,195)</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(20,395)</w:t>
            </w:r>
          </w:p>
        </w:tc>
      </w:tr>
      <w:tr>
        <w:trPr>
          <w:trHeight w:val="594"/>
        </w:trPr>
        <w:tc>
          <w:tcPr>
            <w:tcW w:w="49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F-5</w:t>
            </w:r>
          </w:p>
        </w:tc>
        <w:tc>
          <w:tcPr>
            <w:tcW w:w="1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r>
      <w:tr>
        <w:trPr>
          <w:trHeight w:val="238"/>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56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31 March 2026</w:t>
            </w:r>
          </w:p>
        </w:tc>
        <w:tc>
          <w:tcPr>
            <w:tcW w:w="16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31 March 2025</w:t>
            </w: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borrowings</w:t>
            </w:r>
          </w:p>
        </w:tc>
        <w:tc>
          <w:tcPr>
            <w:tcW w:w="2560" w:type="dxa"/>
            <w:vAlign w:val="bottom"/>
            <w:tcBorders>
              <w:top w:val="single" w:sz="8" w:color="CCEEFF"/>
            </w:tcBorders>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16</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(9,046)</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Repayments of principal portion of lease liabilities</w:t>
            </w:r>
          </w:p>
        </w:tc>
        <w:tc>
          <w:tcPr>
            <w:tcW w:w="256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10</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w:t>
            </w: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new borrowings</w:t>
            </w:r>
          </w:p>
        </w:tc>
        <w:tc>
          <w:tcPr>
            <w:tcW w:w="256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16</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13,496</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Transaction cost from new borrowings</w:t>
            </w:r>
          </w:p>
        </w:tc>
        <w:tc>
          <w:tcPr>
            <w:tcW w:w="256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560" w:type="dxa"/>
            <w:vAlign w:val="bottom"/>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20" w:type="dxa"/>
            <w:vAlign w:val="bottom"/>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w:t>
            </w:r>
          </w:p>
        </w:tc>
      </w:tr>
      <w:tr>
        <w:trPr>
          <w:trHeight w:val="20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256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12</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(107,591)</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(13,685)</w:t>
            </w: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year</w:t>
            </w:r>
          </w:p>
        </w:tc>
        <w:tc>
          <w:tcPr>
            <w:tcW w:w="256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12</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172,359</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51,428</w:t>
            </w:r>
          </w:p>
        </w:tc>
      </w:tr>
      <w:tr>
        <w:trPr>
          <w:trHeight w:val="230"/>
        </w:trPr>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movements in exchange rates on cash held</w:t>
            </w:r>
          </w:p>
        </w:tc>
        <w:tc>
          <w:tcPr>
            <w:tcW w:w="256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801</w:t>
            </w:r>
          </w:p>
        </w:tc>
      </w:tr>
      <w:tr>
        <w:trPr>
          <w:trHeight w:val="223"/>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2560" w:type="dxa"/>
            <w:vAlign w:val="bottom"/>
            <w:tcBorders>
              <w:bottom w:val="single" w:sz="8" w:color="CCEEFF"/>
            </w:tcBorders>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12</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63,832</w:t>
            </w:r>
          </w:p>
        </w:tc>
        <w:tc>
          <w:tcPr>
            <w:tcW w:w="1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38,544</w:t>
            </w:r>
          </w:p>
        </w:tc>
      </w:tr>
      <w:tr>
        <w:trPr>
          <w:trHeight w:val="20"/>
        </w:trPr>
        <w:tc>
          <w:tcPr>
            <w:tcW w:w="5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disclosures (Note 21)</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Unaudited Condensed Consolidated Interim Statements of Changes in Equity for the three months ended 31 March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USD in thousands</w:t>
            </w:r>
          </w:p>
        </w:tc>
        <w:tc>
          <w:tcPr>
            <w:tcW w:w="12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Share</w:t>
            </w:r>
          </w:p>
        </w:tc>
        <w:tc>
          <w:tcPr>
            <w:tcW w:w="12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color w:val="auto"/>
              </w:rPr>
              <w:t>Share</w:t>
            </w:r>
          </w:p>
        </w:tc>
        <w:tc>
          <w:tcPr>
            <w:tcW w:w="12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w w:val="97"/>
              </w:rPr>
              <w:t>Other</w:t>
            </w:r>
          </w:p>
        </w:tc>
        <w:tc>
          <w:tcPr>
            <w:tcW w:w="12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color w:val="auto"/>
                <w:w w:val="99"/>
              </w:rPr>
              <w:t>Translation</w:t>
            </w:r>
          </w:p>
        </w:tc>
        <w:tc>
          <w:tcPr>
            <w:tcW w:w="12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w w:val="99"/>
              </w:rPr>
              <w:t>Accumulated</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94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p>
        </w:tc>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capital</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premium</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reserves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reserve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deficit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Total equity</w:t>
            </w:r>
          </w:p>
        </w:tc>
        <w:tc>
          <w:tcPr>
            <w:tcW w:w="0" w:type="dxa"/>
            <w:vAlign w:val="bottom"/>
          </w:tcPr>
          <w:p>
            <w:pPr>
              <w:spacing w:after="0"/>
              <w:rPr>
                <w:sz w:val="1"/>
                <w:szCs w:val="1"/>
                <w:color w:val="auto"/>
              </w:rPr>
            </w:pPr>
          </w:p>
        </w:tc>
      </w:tr>
      <w:tr>
        <w:trPr>
          <w:trHeight w:val="223"/>
        </w:trPr>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1 January 2025</w:t>
            </w:r>
          </w:p>
        </w:tc>
        <w:tc>
          <w:tcPr>
            <w:tcW w:w="11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2,826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2,007,058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(2,437,709)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(412,771)</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Profit for the period</w:t>
            </w: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40" w:type="dxa"/>
            <w:vAlign w:val="bottom"/>
            <w:vMerge w:val="continue"/>
          </w:tcPr>
          <w:p>
            <w:pPr>
              <w:spacing w:after="0"/>
              <w:rPr>
                <w:sz w:val="17"/>
                <w:szCs w:val="17"/>
                <w:color w:val="auto"/>
              </w:rPr>
            </w:pPr>
          </w:p>
        </w:tc>
        <w:tc>
          <w:tcPr>
            <w:tcW w:w="116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continue"/>
          </w:tcPr>
          <w:p>
            <w:pPr>
              <w:spacing w:after="0"/>
              <w:rPr>
                <w:sz w:val="17"/>
                <w:szCs w:val="17"/>
                <w:color w:val="auto"/>
              </w:rPr>
            </w:pPr>
          </w:p>
        </w:tc>
        <w:tc>
          <w:tcPr>
            <w:tcW w:w="114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continue"/>
          </w:tcPr>
          <w:p>
            <w:pPr>
              <w:spacing w:after="0"/>
              <w:rPr>
                <w:sz w:val="17"/>
                <w:szCs w:val="17"/>
                <w:color w:val="auto"/>
              </w:rPr>
            </w:pPr>
          </w:p>
        </w:tc>
        <w:tc>
          <w:tcPr>
            <w:tcW w:w="11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continue"/>
          </w:tcPr>
          <w:p>
            <w:pPr>
              <w:spacing w:after="0"/>
              <w:rPr>
                <w:sz w:val="17"/>
                <w:szCs w:val="17"/>
                <w:color w:val="auto"/>
              </w:rPr>
            </w:pPr>
          </w:p>
        </w:tc>
        <w:tc>
          <w:tcPr>
            <w:tcW w:w="11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continue"/>
          </w:tcPr>
          <w:p>
            <w:pPr>
              <w:spacing w:after="0"/>
              <w:rPr>
                <w:sz w:val="17"/>
                <w:szCs w:val="17"/>
                <w:color w:val="auto"/>
              </w:rPr>
            </w:pPr>
          </w:p>
        </w:tc>
        <w:tc>
          <w:tcPr>
            <w:tcW w:w="11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109,680</w:t>
            </w:r>
          </w:p>
        </w:tc>
        <w:tc>
          <w:tcPr>
            <w:tcW w:w="120" w:type="dxa"/>
            <w:vAlign w:val="bottom"/>
          </w:tcPr>
          <w:p>
            <w:pPr>
              <w:spacing w:after="0"/>
              <w:rPr>
                <w:sz w:val="17"/>
                <w:szCs w:val="17"/>
                <w:color w:val="auto"/>
              </w:rPr>
            </w:pPr>
          </w:p>
        </w:tc>
        <w:tc>
          <w:tcPr>
            <w:tcW w:w="11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109,680</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differences</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1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profit</w:t>
            </w: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18"/>
                <w:szCs w:val="18"/>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109,680</w:t>
            </w:r>
          </w:p>
        </w:tc>
        <w:tc>
          <w:tcPr>
            <w:tcW w:w="120" w:type="dxa"/>
            <w:vAlign w:val="bottom"/>
          </w:tcPr>
          <w:p>
            <w:pPr>
              <w:spacing w:after="0"/>
              <w:rPr>
                <w:sz w:val="18"/>
                <w:szCs w:val="18"/>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109,921</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Recognition of share-based payments</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recognised</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RSUs with shares</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63"/>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At 31 March 2025</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2,828</w:t>
            </w:r>
          </w:p>
        </w:tc>
        <w:tc>
          <w:tcPr>
            <w:tcW w:w="120" w:type="dxa"/>
            <w:vAlign w:val="bottom"/>
            <w:tcBorders>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2,007,510</w:t>
            </w:r>
          </w:p>
        </w:tc>
        <w:tc>
          <w:tcPr>
            <w:tcW w:w="12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17,381</w:t>
            </w:r>
          </w:p>
        </w:tc>
        <w:tc>
          <w:tcPr>
            <w:tcW w:w="100" w:type="dxa"/>
            <w:vAlign w:val="bottom"/>
            <w:tcBorders>
              <w:bottom w:val="single" w:sz="8" w:color="CCEEFF"/>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20" w:type="dxa"/>
            <w:vAlign w:val="bottom"/>
            <w:tcBorders>
              <w:bottom w:val="single" w:sz="8" w:color="CCEEFF"/>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(2,328,029)</w:t>
            </w:r>
          </w:p>
        </w:tc>
        <w:tc>
          <w:tcPr>
            <w:tcW w:w="120" w:type="dxa"/>
            <w:vAlign w:val="bottom"/>
            <w:tcBorders>
              <w:bottom w:val="single" w:sz="8" w:color="CCEEFF"/>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(302,287)</w:t>
            </w:r>
          </w:p>
        </w:tc>
        <w:tc>
          <w:tcPr>
            <w:tcW w:w="0" w:type="dxa"/>
            <w:vAlign w:val="bottom"/>
          </w:tcPr>
          <w:p>
            <w:pPr>
              <w:spacing w:after="0"/>
              <w:rPr>
                <w:sz w:val="1"/>
                <w:szCs w:val="1"/>
                <w:color w:val="auto"/>
              </w:rPr>
            </w:pPr>
          </w:p>
        </w:tc>
      </w:tr>
      <w:tr>
        <w:trPr>
          <w:trHeight w:val="197"/>
        </w:trPr>
        <w:tc>
          <w:tcPr>
            <w:tcW w:w="394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At 1 January 2026</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2,929</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2,105,691</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15,331</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1,352</w:t>
            </w: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(2,409,790)</w:t>
            </w: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(284,487)</w:t>
            </w:r>
          </w:p>
        </w:tc>
        <w:tc>
          <w:tcPr>
            <w:tcW w:w="0" w:type="dxa"/>
            <w:vAlign w:val="bottom"/>
          </w:tcPr>
          <w:p>
            <w:pPr>
              <w:spacing w:after="0"/>
              <w:rPr>
                <w:sz w:val="1"/>
                <w:szCs w:val="1"/>
                <w:color w:val="auto"/>
              </w:rPr>
            </w:pPr>
          </w:p>
        </w:tc>
      </w:tr>
      <w:tr>
        <w:trPr>
          <w:trHeight w:val="197"/>
        </w:trPr>
        <w:tc>
          <w:tcPr>
            <w:tcW w:w="3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Profit for the period</w:t>
            </w:r>
          </w:p>
        </w:tc>
        <w:tc>
          <w:tcPr>
            <w:tcW w:w="116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1,030</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differences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profit</w:t>
            </w:r>
          </w:p>
        </w:tc>
        <w:tc>
          <w:tcPr>
            <w:tcW w:w="11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Recognition of share-based payments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2,261</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2,261</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recognised</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RSUs with shares</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1,228</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23"/>
        </w:trPr>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31 March 2026</w:t>
            </w:r>
          </w:p>
        </w:tc>
        <w:tc>
          <w:tcPr>
            <w:tcW w:w="11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2,106,919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16,198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(2,408,760)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(282,312)</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 w:name="page17"/>
    <w:bookmarkEnd w:id="16"/>
    <w:p>
      <w:pPr>
        <w:ind w:left="652" w:hanging="652"/>
        <w:spacing w:after="0"/>
        <w:tabs>
          <w:tab w:leader="none" w:pos="65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information</w:t>
      </w:r>
    </w:p>
    <w:p>
      <w:pPr>
        <w:spacing w:after="0" w:line="225" w:lineRule="exact"/>
        <w:rPr>
          <w:rFonts w:ascii="Times New Roman" w:cs="Times New Roman" w:eastAsia="Times New Roman" w:hAnsi="Times New Roman"/>
          <w:sz w:val="18"/>
          <w:szCs w:val="18"/>
          <w:color w:val="auto"/>
        </w:rPr>
      </w:pPr>
    </w:p>
    <w:p>
      <w:pPr>
        <w:ind w:left="652" w:right="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Alvotech (the “Parent” or the “Company” or “Alvotech”) is a Luxembourg public limited company (société anonyme) incorporated and existing under the laws of the Grand Duchy of Luxembourg, having its registered office at 9, rue de Bitbourg, L-1273 Luxembourg, Grand Duchy of Luxembourg and is registered with the Luxembourg Trade and Companies’ Register under number B 258884. The Company was incorporated on 23 August 2021. These condensed consolidated interim financial statements were approved by the Group’s Board of Directors, and authorized for issue, on 8 June 2026.</w:t>
      </w:r>
    </w:p>
    <w:p>
      <w:pPr>
        <w:spacing w:after="0" w:line="183" w:lineRule="exact"/>
        <w:rPr>
          <w:rFonts w:ascii="Times New Roman" w:cs="Times New Roman" w:eastAsia="Times New Roman" w:hAnsi="Times New Roman"/>
          <w:sz w:val="18"/>
          <w:szCs w:val="18"/>
          <w:color w:val="auto"/>
        </w:rPr>
      </w:pPr>
    </w:p>
    <w:p>
      <w:pPr>
        <w:ind w:left="652" w:right="4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(collectively referred to as the “Group”) are a global biotech company specialized in the development and manufacture of biosimilar medicines for patients worldwide. The Group has commercialized a certain biosimilar product and has multiple biosimilar molecules.</w:t>
      </w:r>
    </w:p>
    <w:p>
      <w:pPr>
        <w:spacing w:after="0" w:line="175"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Information about shareholders</w:t>
      </w:r>
    </w:p>
    <w:p>
      <w:pPr>
        <w:spacing w:after="0" w:line="225" w:lineRule="exact"/>
        <w:rPr>
          <w:rFonts w:ascii="Times New Roman" w:cs="Times New Roman" w:eastAsia="Times New Roman" w:hAnsi="Times New Roman"/>
          <w:sz w:val="18"/>
          <w:szCs w:val="18"/>
          <w:color w:val="auto"/>
        </w:rPr>
      </w:pPr>
    </w:p>
    <w:p>
      <w:pPr>
        <w:ind w:left="652" w:right="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shareholders of the Company are Aztiq Pharma Partners S.à r.l. (Aztiq) and Alvogen Lux Holdings S.à r.l. (Alvogen), with 33.3% and 28.9% ownership interest as of 31 March 2026, respectively. The remaining 37.8% ownership interest is held by various entities, with no single shareholder holding more than 2.4% ownership interest as of 31 March 2026.</w:t>
      </w:r>
    </w:p>
    <w:p>
      <w:pPr>
        <w:spacing w:after="0" w:line="175"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Going concern</w:t>
      </w:r>
    </w:p>
    <w:p>
      <w:pPr>
        <w:spacing w:after="0" w:line="225" w:lineRule="exact"/>
        <w:rPr>
          <w:rFonts w:ascii="Times New Roman" w:cs="Times New Roman" w:eastAsia="Times New Roman" w:hAnsi="Times New Roman"/>
          <w:sz w:val="18"/>
          <w:szCs w:val="18"/>
          <w:color w:val="auto"/>
        </w:rPr>
      </w:pPr>
    </w:p>
    <w:p>
      <w:pPr>
        <w:ind w:left="652" w:right="12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Group has primarily funded its operations with proceeds from the issuance of ordinary shares and the issuance of loans and borrowings to both related parties and third parties. Since its inception, the three months ended 31 March 2026 was the second period in which the Group generated profit, with a profit of $1.0 million for the three months ended 31 March 2026, compared to a profit of $109.7 million for three months ended 31 March 2025, and had an accumulated deficit of $2,408.8 million as of 31 March 2026 and $2,409.8 million as of 31 December 2025.</w:t>
      </w:r>
    </w:p>
    <w:p>
      <w:pPr>
        <w:spacing w:after="0" w:line="164"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31 March 2026, the Group had cash and cash equivalents of $63.8 million and current assets less current liabilities of $196.2 million.</w:t>
      </w:r>
    </w:p>
    <w:p>
      <w:pPr>
        <w:spacing w:after="0" w:line="225" w:lineRule="exact"/>
        <w:rPr>
          <w:rFonts w:ascii="Times New Roman" w:cs="Times New Roman" w:eastAsia="Times New Roman" w:hAnsi="Times New Roman"/>
          <w:sz w:val="18"/>
          <w:szCs w:val="18"/>
          <w:color w:val="auto"/>
        </w:rPr>
      </w:pPr>
    </w:p>
    <w:p>
      <w:pPr>
        <w:ind w:left="652" w:right="1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31 March 2026, the Group’s financial position and liquidity outlook were impacted by several developments (see Note 3 — Significant changes in the current reporting period for additional details).</w:t>
      </w:r>
    </w:p>
    <w:p>
      <w:pPr>
        <w:spacing w:after="0" w:line="161" w:lineRule="exact"/>
        <w:rPr>
          <w:rFonts w:ascii="Times New Roman" w:cs="Times New Roman" w:eastAsia="Times New Roman" w:hAnsi="Times New Roman"/>
          <w:sz w:val="18"/>
          <w:szCs w:val="18"/>
          <w:color w:val="auto"/>
        </w:rPr>
      </w:pPr>
    </w:p>
    <w:p>
      <w:pPr>
        <w:ind w:left="65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2026, the Group entered into a settlement and licensing agreement with Regeneron and Bayer relating to AVT06, providing increased visibility on commercialization and establishing launch timelines across key markets outside the United States, which is expected to support future revenue generation.</w:t>
      </w:r>
    </w:p>
    <w:p>
      <w:pPr>
        <w:spacing w:after="0" w:line="175" w:lineRule="exact"/>
        <w:rPr>
          <w:rFonts w:ascii="Times New Roman" w:cs="Times New Roman" w:eastAsia="Times New Roman" w:hAnsi="Times New Roman"/>
          <w:sz w:val="18"/>
          <w:szCs w:val="18"/>
          <w:color w:val="auto"/>
        </w:rPr>
      </w:pPr>
    </w:p>
    <w:p>
      <w:pPr>
        <w:ind w:left="652" w:right="4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2026, the Group further expanded its commercial platform through new supply and commercialization agreements with Sandoz covering Canada, Australia, and New Zealand. These agreements broaden the Group’s geographic footprint and are expected to contribute to future milestone and product revenues, subject to regulatory approvals and market uptake.</w:t>
      </w:r>
    </w:p>
    <w:p>
      <w:pPr>
        <w:spacing w:after="0" w:line="175" w:lineRule="exact"/>
        <w:rPr>
          <w:rFonts w:ascii="Times New Roman" w:cs="Times New Roman" w:eastAsia="Times New Roman" w:hAnsi="Times New Roman"/>
          <w:sz w:val="18"/>
          <w:szCs w:val="18"/>
          <w:color w:val="auto"/>
        </w:rPr>
      </w:pPr>
    </w:p>
    <w:p>
      <w:pPr>
        <w:ind w:left="652" w:right="2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also reported positive pivotal study results for AVT80 in February 2026, enabling progression toward regulatory submissions. While representing an important pipeline milestone, this development does not have an immediate impact on liquidity.</w:t>
      </w:r>
    </w:p>
    <w:p>
      <w:pPr>
        <w:spacing w:after="0" w:line="161" w:lineRule="exact"/>
        <w:rPr>
          <w:rFonts w:ascii="Times New Roman" w:cs="Times New Roman" w:eastAsia="Times New Roman" w:hAnsi="Times New Roman"/>
          <w:sz w:val="18"/>
          <w:szCs w:val="18"/>
          <w:color w:val="auto"/>
        </w:rPr>
      </w:pPr>
    </w:p>
    <w:p>
      <w:pPr>
        <w:ind w:left="652" w:right="3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2026, the Company issued 12,500,000 shares to a wholly owned subsidiary, classified as treasury shares. This transaction did not generate external cash proceeds but enhances flexibility to settle existing financial instruments, including convertible bonds and share-based obligations.</w:t>
      </w:r>
    </w:p>
    <w:p>
      <w:pPr>
        <w:spacing w:after="0" w:line="175" w:lineRule="exact"/>
        <w:rPr>
          <w:rFonts w:ascii="Times New Roman" w:cs="Times New Roman" w:eastAsia="Times New Roman" w:hAnsi="Times New Roman"/>
          <w:sz w:val="18"/>
          <w:szCs w:val="18"/>
          <w:color w:val="auto"/>
        </w:rPr>
      </w:pPr>
    </w:p>
    <w:p>
      <w:pPr>
        <w:ind w:left="652"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in February 2026, the Board approved a further restructuring initiative. The Group expects to incur restructuring costs during 2026; however, these actions are intended to reduce the ongoing cost base and support improved future cash flows.</w:t>
      </w:r>
    </w:p>
    <w:p>
      <w:pPr>
        <w:spacing w:after="0" w:line="161" w:lineRule="exact"/>
        <w:rPr>
          <w:rFonts w:ascii="Times New Roman" w:cs="Times New Roman" w:eastAsia="Times New Roman" w:hAnsi="Times New Roman"/>
          <w:sz w:val="18"/>
          <w:szCs w:val="18"/>
          <w:color w:val="auto"/>
        </w:rPr>
      </w:pPr>
    </w:p>
    <w:p>
      <w:pPr>
        <w:ind w:left="652" w:right="1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expects to fund its activities through a combination of existing cash, projected cash generated from milestone collections and product revenues under commercial agreements, and financing arrangements available to the Group.</w:t>
      </w:r>
    </w:p>
    <w:p>
      <w:pPr>
        <w:spacing w:after="0" w:line="270"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12"/>
          </w:cols>
          <w:pgMar w:left="328" w:top="796" w:right="359" w:bottom="1440" w:gutter="0" w:footer="0" w:header="0"/>
        </w:sectPr>
      </w:pPr>
    </w:p>
    <w:bookmarkStart w:id="17" w:name="page18"/>
    <w:bookmarkEnd w:id="17"/>
    <w:p>
      <w:pPr>
        <w:ind w:left="652" w:right="100"/>
        <w:spacing w:after="0" w:line="258" w:lineRule="auto"/>
        <w:rPr>
          <w:sz w:val="20"/>
          <w:szCs w:val="20"/>
          <w:color w:val="auto"/>
        </w:rPr>
      </w:pPr>
      <w:r>
        <w:rPr>
          <w:rFonts w:ascii="Times New Roman" w:cs="Times New Roman" w:eastAsia="Times New Roman" w:hAnsi="Times New Roman"/>
          <w:sz w:val="18"/>
          <w:szCs w:val="18"/>
          <w:color w:val="auto"/>
        </w:rPr>
        <w:t>While several of the Group’s biosimilar programs have recently been launched and others are advancing through regulatory approval and commercialization, uncertainty remains regarding the timing and magnitude of future cash inflows. The Group continues to rely on the successful commercialization of its marketed products, including AVT02 (adalimumab) and AVT04 (ustekinumab), as well as the execution of upcoming launches, including AVT03 (denosumab), AVT05 (golimumab), and AVT06 (aflibercept), which has been further supported by the settlement agreement entered into in January 2026.</w:t>
      </w:r>
    </w:p>
    <w:p>
      <w:pPr>
        <w:spacing w:after="0" w:line="183" w:lineRule="exact"/>
        <w:rPr>
          <w:sz w:val="20"/>
          <w:szCs w:val="20"/>
          <w:color w:val="auto"/>
        </w:rPr>
      </w:pPr>
    </w:p>
    <w:p>
      <w:pPr>
        <w:ind w:left="652" w:right="180"/>
        <w:spacing w:after="0" w:line="258" w:lineRule="auto"/>
        <w:rPr>
          <w:sz w:val="20"/>
          <w:szCs w:val="20"/>
          <w:color w:val="auto"/>
        </w:rPr>
      </w:pPr>
      <w:r>
        <w:rPr>
          <w:rFonts w:ascii="Times New Roman" w:cs="Times New Roman" w:eastAsia="Times New Roman" w:hAnsi="Times New Roman"/>
          <w:sz w:val="18"/>
          <w:szCs w:val="18"/>
          <w:color w:val="auto"/>
        </w:rPr>
        <w:t>Although these developments, together with expanded commercial partnerships and ongoing cost optimization initiatives, improve the Group’s revenue visibility and operating outlook, the timing of cash flow generation remains subject to regulatory approvals, market access, and commercial performance. As a result, the Group may need to access additional financing in the future, which is dependent on market conditions and the availability of funding sources that are not entirely within the Group’s control. If sufficient funding is not available, management may be required to delay, scale back, or discontinue certain development or commercialization activities.</w:t>
      </w:r>
    </w:p>
    <w:p>
      <w:pPr>
        <w:spacing w:after="0" w:line="183" w:lineRule="exact"/>
        <w:rPr>
          <w:sz w:val="20"/>
          <w:szCs w:val="20"/>
          <w:color w:val="auto"/>
        </w:rPr>
      </w:pPr>
    </w:p>
    <w:p>
      <w:pPr>
        <w:ind w:left="652" w:right="180"/>
        <w:spacing w:after="0" w:line="266" w:lineRule="auto"/>
        <w:rPr>
          <w:sz w:val="20"/>
          <w:szCs w:val="20"/>
          <w:color w:val="auto"/>
        </w:rPr>
      </w:pPr>
      <w:r>
        <w:rPr>
          <w:rFonts w:ascii="Times New Roman" w:cs="Times New Roman" w:eastAsia="Times New Roman" w:hAnsi="Times New Roman"/>
          <w:sz w:val="18"/>
          <w:szCs w:val="18"/>
          <w:color w:val="auto"/>
        </w:rPr>
        <w:t>In conclusion, based on the existing cash on hand and projected future cash flows, management concluded that the Group has the ability to continue as a going concern for at least one year after the date that the unaudited condensed consolidated interim financial statements are issued. As such, the unaudited condensed consolidated interim financial statements have been prepared on a going concern basis.</w:t>
      </w:r>
    </w:p>
    <w:p>
      <w:pPr>
        <w:spacing w:after="0" w:line="176" w:lineRule="exact"/>
        <w:rPr>
          <w:sz w:val="20"/>
          <w:szCs w:val="20"/>
          <w:color w:val="auto"/>
        </w:rPr>
      </w:pPr>
    </w:p>
    <w:p>
      <w:pPr>
        <w:ind w:left="652" w:hanging="652"/>
        <w:spacing w:after="0"/>
        <w:tabs>
          <w:tab w:leader="none" w:pos="65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Basis of preparation</w:t>
      </w:r>
    </w:p>
    <w:p>
      <w:pPr>
        <w:spacing w:after="0" w:line="225" w:lineRule="exact"/>
        <w:rPr>
          <w:rFonts w:ascii="Times New Roman" w:cs="Times New Roman" w:eastAsia="Times New Roman" w:hAnsi="Times New Roman"/>
          <w:sz w:val="18"/>
          <w:szCs w:val="18"/>
          <w:color w:val="auto"/>
        </w:rPr>
      </w:pPr>
    </w:p>
    <w:p>
      <w:pPr>
        <w:ind w:left="652" w:right="1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condensed consolidated interim financial statements of the Group as of and for the three months ended 31 March 2026 have been prepared in accordance and in compliance with International Accounting Standard 34 Interim Financial Reporting (IAS 34) as issued by the International Accounting Standards Board (IASB). Certain information and disclosures normally included in the annual consolidated financial statements prepared in accordance with IFRS® Accounting Standards (IFRS) as issued by the IASB, have been condensed or omitted. Accordingly, these unaudited condensed consolidated interim financial statements should be read in conjunction with the Group’s audited annual consolidated financial statements for the year ended 31 December 2025, and accompanying notes, which have been prepared in accordance with IFRS as issued by the IASB and as adopted by the European Union (the “EU”).</w:t>
      </w:r>
    </w:p>
    <w:p>
      <w:pPr>
        <w:spacing w:after="0" w:line="188" w:lineRule="exact"/>
        <w:rPr>
          <w:rFonts w:ascii="Times New Roman" w:cs="Times New Roman" w:eastAsia="Times New Roman" w:hAnsi="Times New Roman"/>
          <w:sz w:val="18"/>
          <w:szCs w:val="18"/>
          <w:color w:val="auto"/>
        </w:rPr>
      </w:pPr>
    </w:p>
    <w:p>
      <w:pPr>
        <w:ind w:left="652"/>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accounting policies and basis of preparation adopted in the preparation of these unaudited condensed consolidated interim financial statements are consistent with those followed in the preparation of the Group’s consolidated financial statements issued for the year ended 31 December 2025, except for the adoption of new and amended accounting standards effective as of 1 January 2026. The Group has not early adopted any other standards, interpretations or amendments that have been issued but are not yet effective. The unaudited condensed consolidated interim financial statements are presented in U.S. dollars and all values are rounded to the nearest thousand unless otherwise indicated.</w:t>
      </w:r>
    </w:p>
    <w:p>
      <w:pPr>
        <w:spacing w:after="0" w:line="183" w:lineRule="exact"/>
        <w:rPr>
          <w:rFonts w:ascii="Times New Roman" w:cs="Times New Roman" w:eastAsia="Times New Roman" w:hAnsi="Times New Roman"/>
          <w:sz w:val="18"/>
          <w:szCs w:val="18"/>
          <w:color w:val="auto"/>
        </w:rPr>
      </w:pPr>
    </w:p>
    <w:p>
      <w:pPr>
        <w:ind w:left="652" w:right="3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the Group’s management, these unaudited condensed consolidated interim financial statements contain all normal recurring adjustments necessary to present fairly the financial position and results of operations of the Group for each of the periods presented. The condensed consolidated statement of financial position as of 31 December 2025 was derived from the consolidated financial statements at that date.</w:t>
      </w:r>
    </w:p>
    <w:p>
      <w:pPr>
        <w:spacing w:after="0" w:line="179" w:lineRule="exact"/>
        <w:rPr>
          <w:rFonts w:ascii="Times New Roman" w:cs="Times New Roman" w:eastAsia="Times New Roman" w:hAnsi="Times New Roman"/>
          <w:sz w:val="18"/>
          <w:szCs w:val="18"/>
          <w:color w:val="auto"/>
        </w:rPr>
      </w:pPr>
    </w:p>
    <w:p>
      <w:pPr>
        <w:ind w:left="652" w:right="1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preparing these unaudited condensed consolidated interim financial statements, management has made judgments and estimates that affect the application of accounting policies and the reported amounts of assets and liabilities, income and expense. The significant judgments made by management in applying the Group’s accounting policies and the key sources of estimation uncertainty were the same as those described in the Group´s consolidated financial statements issued for the year ended 31 December 2025.</w:t>
      </w:r>
    </w:p>
    <w:p>
      <w:pPr>
        <w:spacing w:after="0" w:line="179" w:lineRule="exact"/>
        <w:rPr>
          <w:rFonts w:ascii="Times New Roman" w:cs="Times New Roman" w:eastAsia="Times New Roman" w:hAnsi="Times New Roman"/>
          <w:sz w:val="18"/>
          <w:szCs w:val="18"/>
          <w:color w:val="auto"/>
        </w:rPr>
      </w:pPr>
    </w:p>
    <w:p>
      <w:pPr>
        <w:ind w:left="652" w:right="4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estimates and associated assumptions are based on information available when the unaudited condensed consolidated interim financial statements are prepared, historical experience and other factors that are considered to be relevant. Judgments and assumptions involving key estimates are primarily made in relation to the measurement and recognition of revenue, the valuation of derivative financial liabilities, the valuation of deferred tax assets, and the purchase price allocation with respect to the asset acquisition. Actual results may differ from these estimates.</w:t>
      </w:r>
    </w:p>
    <w:p>
      <w:pPr>
        <w:spacing w:after="0" w:line="29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32"/>
          </w:cols>
          <w:pgMar w:left="328" w:top="796" w:right="339" w:bottom="1440" w:gutter="0" w:footer="0" w:header="0"/>
        </w:sectPr>
      </w:pPr>
    </w:p>
    <w:bookmarkStart w:id="18" w:name="page19"/>
    <w:bookmarkEnd w:id="18"/>
    <w:p>
      <w:pPr>
        <w:ind w:left="652" w:hanging="652"/>
        <w:spacing w:after="0"/>
        <w:tabs>
          <w:tab w:leader="none" w:pos="65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the current reporting period</w:t>
      </w:r>
    </w:p>
    <w:p>
      <w:pPr>
        <w:spacing w:after="0" w:line="225" w:lineRule="exact"/>
        <w:rPr>
          <w:rFonts w:ascii="Times New Roman" w:cs="Times New Roman" w:eastAsia="Times New Roman" w:hAnsi="Times New Roman"/>
          <w:sz w:val="18"/>
          <w:szCs w:val="18"/>
          <w:color w:val="auto"/>
        </w:rPr>
      </w:pPr>
    </w:p>
    <w:p>
      <w:pPr>
        <w:ind w:left="652" w:right="3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position and performance of the Group was impacted by the following events and transactions during the three months ended 31 March 2026:</w:t>
      </w:r>
    </w:p>
    <w:p>
      <w:pPr>
        <w:spacing w:after="0" w:line="161" w:lineRule="exact"/>
        <w:rPr>
          <w:rFonts w:ascii="Times New Roman" w:cs="Times New Roman" w:eastAsia="Times New Roman" w:hAnsi="Times New Roman"/>
          <w:sz w:val="18"/>
          <w:szCs w:val="18"/>
          <w:color w:val="auto"/>
        </w:rPr>
      </w:pPr>
    </w:p>
    <w:p>
      <w:pPr>
        <w:ind w:left="652" w:right="1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29 January 2026, the Group announced that it had entered into a settlement and licensing agreement with Regeneron and Bayer regarding AVT06, its proposed biosimilar to Eylea (aflibercept), which is approved for marketing in the European Economic Area, United Kingdom and Japan. The agreement provides the Group with commercial certainty in global markets and forms part of the ongoing preparations for future regulatory submissions and market entry.The settlement agreement allows Alvotech and its commercial partners to market and sell the biosimilar as of 1 January 2026 in the United Kingdom and Canada, as well as in Japan (excluding the diabetic macular edema indication) starting 1 May 2026 in the European Economic Area and all other countries in the world (other than the U.S.), and from 1 November 2026 in Japan with all approved indications.</w:t>
      </w:r>
    </w:p>
    <w:p>
      <w:pPr>
        <w:spacing w:after="0" w:line="188" w:lineRule="exact"/>
        <w:rPr>
          <w:rFonts w:ascii="Times New Roman" w:cs="Times New Roman" w:eastAsia="Times New Roman" w:hAnsi="Times New Roman"/>
          <w:sz w:val="18"/>
          <w:szCs w:val="18"/>
          <w:color w:val="auto"/>
        </w:rPr>
      </w:pPr>
    </w:p>
    <w:p>
      <w:pPr>
        <w:ind w:left="652"/>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2 February 2026, the Group entered into new supply and commercialization agreements with Sandoz for Canada, Australia, and New Zealand. In Canada, the agreement covers one biosimilar candidate in ophthalmology supplied as a prefilled syringe for intravitreal injection. In Australia and New Zealand, the agreement encompasses three biosimilar candidates across immunology and gastroenterology, in multiple formulations. The agreement covers multiple biosimilar candidates and further expands the Group’s geographic commercial footprint.</w:t>
      </w:r>
    </w:p>
    <w:p>
      <w:pPr>
        <w:spacing w:after="0" w:line="179" w:lineRule="exact"/>
        <w:rPr>
          <w:rFonts w:ascii="Times New Roman" w:cs="Times New Roman" w:eastAsia="Times New Roman" w:hAnsi="Times New Roman"/>
          <w:sz w:val="18"/>
          <w:szCs w:val="18"/>
          <w:color w:val="auto"/>
        </w:rPr>
      </w:pPr>
    </w:p>
    <w:p>
      <w:pPr>
        <w:ind w:left="652" w:right="1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5 February 2026, the Group announced positive top-line results from its pivotal pharmacokinetic study for AVT80, a proposed biosimilar to Entyvio (vedolizumab). The study met all primary endpoints, demonstrating pharmacokinetic similarity as well as comparable safety, tolerability, and immunogenicity profiles. These results enable the Group to progress toward regulatory submissions for both AVT16 and AVT80, the intravenous and subcutaneous biosimilar candidates, respectively.</w:t>
      </w:r>
    </w:p>
    <w:p>
      <w:pPr>
        <w:spacing w:after="0" w:line="179" w:lineRule="exact"/>
        <w:rPr>
          <w:rFonts w:ascii="Times New Roman" w:cs="Times New Roman" w:eastAsia="Times New Roman" w:hAnsi="Times New Roman"/>
          <w:sz w:val="18"/>
          <w:szCs w:val="18"/>
          <w:color w:val="auto"/>
        </w:rPr>
      </w:pPr>
    </w:p>
    <w:p>
      <w:pPr>
        <w:ind w:left="652" w:right="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11, 2026, the Company issued 12,500,000 new shares, all of which were subscribed by its wholly-owned subsidiary Alvotech Manco ehf. and classified as treasury shares without voting or dividend rights. The increase in treasury shares was undertaken to restore the number of treasury shares available following settlement of shares lent under the stock-lending facility that supported investors’ hedging of the Convertible Bonds issued in December 2025 (refer to Note 16) and to ensure the Company maintains a sufficient pool of shares for outstanding financial commitments, including warrants, convertible instruments, and share-based compensation programs.</w:t>
      </w:r>
    </w:p>
    <w:p>
      <w:pPr>
        <w:spacing w:after="0" w:line="183" w:lineRule="exact"/>
        <w:rPr>
          <w:rFonts w:ascii="Times New Roman" w:cs="Times New Roman" w:eastAsia="Times New Roman" w:hAnsi="Times New Roman"/>
          <w:sz w:val="18"/>
          <w:szCs w:val="18"/>
          <w:color w:val="auto"/>
        </w:rPr>
      </w:pPr>
    </w:p>
    <w:p>
      <w:pPr>
        <w:ind w:left="652" w:right="1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2026, the Board approved an additional restructuring plan affecting several functions across the Group, with related employee notifications issued in early 2026. The Group expects to incur termination benefits and related restructuring costs in 2026 in connection with this plan.</w:t>
      </w:r>
    </w:p>
    <w:p>
      <w:pPr>
        <w:spacing w:after="0" w:line="17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accounting standards</w:t>
      </w:r>
    </w:p>
    <w:p>
      <w:pPr>
        <w:spacing w:after="0" w:line="225" w:lineRule="exact"/>
        <w:rPr>
          <w:rFonts w:ascii="Times New Roman" w:cs="Times New Roman" w:eastAsia="Times New Roman" w:hAnsi="Times New Roman"/>
          <w:sz w:val="18"/>
          <w:szCs w:val="18"/>
          <w:color w:val="auto"/>
        </w:rPr>
      </w:pPr>
    </w:p>
    <w:p>
      <w:pPr>
        <w:ind w:left="652" w:right="4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Standards and Interpretations, which became effective as of 1 January 2026, did not have a material impact on our unaudited condensed consolidated interim financial statements.</w:t>
      </w:r>
    </w:p>
    <w:p>
      <w:pPr>
        <w:spacing w:after="0" w:line="270"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12"/>
          </w:cols>
          <w:pgMar w:left="328" w:top="796" w:right="359" w:bottom="1440" w:gutter="0" w:footer="0" w:header="0"/>
        </w:sectPr>
      </w:pPr>
    </w:p>
    <w:bookmarkStart w:id="19" w:name="page20"/>
    <w:bookmarkEnd w:id="19"/>
    <w:p>
      <w:pPr>
        <w:ind w:left="660" w:right="8920" w:hanging="652"/>
        <w:spacing w:after="0" w:line="530" w:lineRule="auto"/>
        <w:tabs>
          <w:tab w:leader="none" w:pos="6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Revenue </w:t>
      </w:r>
      <w:r>
        <w:rPr>
          <w:rFonts w:ascii="Times New Roman" w:cs="Times New Roman" w:eastAsia="Times New Roman" w:hAnsi="Times New Roman"/>
          <w:sz w:val="17"/>
          <w:szCs w:val="17"/>
          <w:i w:val="1"/>
          <w:iCs w:val="1"/>
          <w:color w:val="auto"/>
        </w:rPr>
        <w:t>Disaggregated revenue</w:t>
      </w:r>
    </w:p>
    <w:p>
      <w:pPr>
        <w:ind w:left="660" w:right="240"/>
        <w:spacing w:after="0" w:line="28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following table summarizes the Group’s revenue from contracts with customers, disaggregated by the type of good or service and timing of transfer of control of such goods and services to customers during the three months ended 31 March 2026 and 2025:</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7180" w:type="dxa"/>
            <w:vAlign w:val="bottom"/>
          </w:tcPr>
          <w:p>
            <w:pPr>
              <w:spacing w:after="0"/>
              <w:rPr>
                <w:sz w:val="19"/>
                <w:szCs w:val="19"/>
                <w:color w:val="auto"/>
              </w:rPr>
            </w:pPr>
          </w:p>
        </w:tc>
        <w:tc>
          <w:tcPr>
            <w:tcW w:w="192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31 March</w:t>
            </w:r>
          </w:p>
        </w:tc>
        <w:tc>
          <w:tcPr>
            <w:tcW w:w="1000" w:type="dxa"/>
            <w:vAlign w:val="bottom"/>
          </w:tcPr>
          <w:p>
            <w:pPr>
              <w:spacing w:after="0"/>
              <w:rPr>
                <w:sz w:val="19"/>
                <w:szCs w:val="19"/>
                <w:color w:val="auto"/>
              </w:rPr>
            </w:pPr>
          </w:p>
        </w:tc>
      </w:tr>
      <w:tr>
        <w:trPr>
          <w:trHeight w:val="234"/>
        </w:trPr>
        <w:tc>
          <w:tcPr>
            <w:tcW w:w="718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r>
      <w:tr>
        <w:trPr>
          <w:trHeight w:val="21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and service revenue (point in time revenue recognition)</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51,180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109,907</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License revenue (point in time revenue recognition)</w:t>
            </w:r>
          </w:p>
        </w:tc>
        <w:tc>
          <w:tcPr>
            <w:tcW w:w="19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revenue (point in time revenue recognition)</w:t>
            </w:r>
          </w:p>
        </w:tc>
        <w:tc>
          <w:tcPr>
            <w:tcW w:w="192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22,858</w:t>
            </w:r>
          </w:p>
        </w:tc>
      </w:tr>
      <w:tr>
        <w:trPr>
          <w:trHeight w:val="230"/>
        </w:trPr>
        <w:tc>
          <w:tcPr>
            <w:tcW w:w="7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Development and other service revenue (over time revenue recognition)</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54,685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18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105,865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132,765</w:t>
            </w:r>
          </w:p>
        </w:tc>
      </w:tr>
    </w:tbl>
    <w:p>
      <w:pPr>
        <w:spacing w:after="0" w:line="198" w:lineRule="exact"/>
        <w:rPr>
          <w:sz w:val="20"/>
          <w:szCs w:val="20"/>
          <w:color w:val="auto"/>
        </w:rPr>
      </w:pPr>
    </w:p>
    <w:p>
      <w:pPr>
        <w:ind w:left="660" w:right="440"/>
        <w:spacing w:after="0" w:line="282" w:lineRule="auto"/>
        <w:rPr>
          <w:sz w:val="20"/>
          <w:szCs w:val="20"/>
          <w:color w:val="auto"/>
        </w:rPr>
      </w:pPr>
      <w:r>
        <w:rPr>
          <w:rFonts w:ascii="Times New Roman" w:cs="Times New Roman" w:eastAsia="Times New Roman" w:hAnsi="Times New Roman"/>
          <w:sz w:val="18"/>
          <w:szCs w:val="18"/>
          <w:color w:val="auto"/>
        </w:rPr>
        <w:t>Performance revenue is disaggregated from license revenue as the Company reached significant performance milestones during the period in 2025.</w:t>
      </w:r>
    </w:p>
    <w:p>
      <w:pPr>
        <w:spacing w:after="0" w:line="162" w:lineRule="exact"/>
        <w:rPr>
          <w:sz w:val="20"/>
          <w:szCs w:val="20"/>
          <w:color w:val="auto"/>
        </w:rPr>
      </w:pPr>
    </w:p>
    <w:p>
      <w:pPr>
        <w:ind w:left="660" w:right="120"/>
        <w:spacing w:after="0" w:line="282" w:lineRule="auto"/>
        <w:rPr>
          <w:sz w:val="20"/>
          <w:szCs w:val="20"/>
          <w:color w:val="auto"/>
        </w:rPr>
      </w:pPr>
      <w:r>
        <w:rPr>
          <w:rFonts w:ascii="Times New Roman" w:cs="Times New Roman" w:eastAsia="Times New Roman" w:hAnsi="Times New Roman"/>
          <w:sz w:val="18"/>
          <w:szCs w:val="18"/>
          <w:color w:val="auto"/>
        </w:rPr>
        <w:t>Revenue from customers based on the geographic market in which the revenue is earned, which predominantly aligns with the rights conveyed to the Group’s customers pursuant to its out-license contracts, is as follows:</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192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31 March</w:t>
            </w:r>
          </w:p>
        </w:tc>
        <w:tc>
          <w:tcPr>
            <w:tcW w:w="1000" w:type="dxa"/>
            <w:vAlign w:val="bottom"/>
          </w:tcPr>
          <w:p>
            <w:pPr>
              <w:spacing w:after="0"/>
              <w:rPr>
                <w:sz w:val="19"/>
                <w:szCs w:val="19"/>
                <w:color w:val="auto"/>
              </w:rPr>
            </w:pPr>
          </w:p>
        </w:tc>
      </w:tr>
      <w:tr>
        <w:trPr>
          <w:trHeight w:val="234"/>
        </w:trPr>
        <w:tc>
          <w:tcPr>
            <w:tcW w:w="718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r>
      <w:tr>
        <w:trPr>
          <w:trHeight w:val="209"/>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57,606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66,547</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34,531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63,334</w:t>
            </w:r>
          </w:p>
        </w:tc>
      </w:tr>
      <w:tr>
        <w:trPr>
          <w:trHeight w:val="23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13,728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2,884</w:t>
            </w:r>
          </w:p>
        </w:tc>
      </w:tr>
      <w:tr>
        <w:trPr>
          <w:trHeight w:val="210"/>
        </w:trPr>
        <w:tc>
          <w:tcPr>
            <w:tcW w:w="7180" w:type="dxa"/>
            <w:vAlign w:val="bottom"/>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105,865</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132,765</w:t>
            </w: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beginning and ending balances of contract assets and contract liabilities is shown in the table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Contract</w:t>
            </w: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Contract</w:t>
            </w:r>
          </w:p>
        </w:tc>
        <w:tc>
          <w:tcPr>
            <w:tcW w:w="48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5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Assets</w:t>
            </w:r>
          </w:p>
        </w:tc>
        <w:tc>
          <w:tcPr>
            <w:tcW w:w="14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Liabilities</w:t>
            </w:r>
          </w:p>
        </w:tc>
        <w:tc>
          <w:tcPr>
            <w:tcW w:w="48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 December 2025</w:t>
            </w:r>
          </w:p>
        </w:tc>
        <w:tc>
          <w:tcPr>
            <w:tcW w:w="45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187,374</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35,864</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Contract asset additions</w:t>
            </w:r>
          </w:p>
        </w:tc>
        <w:tc>
          <w:tcPr>
            <w:tcW w:w="4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30,584</w:t>
            </w:r>
          </w:p>
        </w:tc>
        <w:tc>
          <w:tcPr>
            <w:tcW w:w="10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Amounts transferred to trade receivables</w:t>
            </w:r>
          </w:p>
        </w:tc>
        <w:tc>
          <w:tcPr>
            <w:tcW w:w="4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(28,555)</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Derecognition of contract liability</w:t>
            </w:r>
          </w:p>
        </w:tc>
        <w:tc>
          <w:tcPr>
            <w:tcW w:w="3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Customer prepayments</w:t>
            </w:r>
          </w:p>
        </w:tc>
        <w:tc>
          <w:tcPr>
            <w:tcW w:w="3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11,305</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Revenue recognized</w:t>
            </w:r>
          </w:p>
        </w:tc>
        <w:tc>
          <w:tcPr>
            <w:tcW w:w="3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(24,101)</w:t>
            </w:r>
          </w:p>
        </w:tc>
        <w:tc>
          <w:tcPr>
            <w:tcW w:w="480" w:type="dxa"/>
            <w:vAlign w:val="bottom"/>
          </w:tcPr>
          <w:p>
            <w:pPr>
              <w:spacing w:after="0"/>
              <w:rPr>
                <w:sz w:val="18"/>
                <w:szCs w:val="18"/>
                <w:color w:val="auto"/>
              </w:rPr>
            </w:pPr>
          </w:p>
        </w:tc>
      </w:tr>
      <w:tr>
        <w:trPr>
          <w:trHeight w:val="229"/>
        </w:trPr>
        <w:tc>
          <w:tcPr>
            <w:tcW w:w="660" w:type="dxa"/>
            <w:vAlign w:val="bottom"/>
          </w:tcPr>
          <w:p>
            <w:pPr>
              <w:spacing w:after="0"/>
              <w:rPr>
                <w:sz w:val="19"/>
                <w:szCs w:val="19"/>
                <w:color w:val="auto"/>
              </w:rPr>
            </w:pPr>
          </w:p>
        </w:tc>
        <w:tc>
          <w:tcPr>
            <w:tcW w:w="4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Foreign currency adjustment</w:t>
            </w:r>
          </w:p>
        </w:tc>
        <w:tc>
          <w:tcPr>
            <w:tcW w:w="4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48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31 March 2026</w:t>
            </w:r>
          </w:p>
        </w:tc>
        <w:tc>
          <w:tcPr>
            <w:tcW w:w="316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188,419</w:t>
            </w:r>
          </w:p>
        </w:tc>
        <w:tc>
          <w:tcPr>
            <w:tcW w:w="10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22,675</w:t>
            </w:r>
          </w:p>
        </w:tc>
        <w:tc>
          <w:tcPr>
            <w:tcW w:w="480" w:type="dxa"/>
            <w:vAlign w:val="bottom"/>
          </w:tcPr>
          <w:p>
            <w:pPr>
              <w:spacing w:after="0"/>
              <w:rPr>
                <w:sz w:val="18"/>
                <w:szCs w:val="18"/>
                <w:color w:val="auto"/>
              </w:rPr>
            </w:pPr>
          </w:p>
        </w:tc>
      </w:tr>
      <w:tr>
        <w:trPr>
          <w:trHeight w:val="568"/>
        </w:trPr>
        <w:tc>
          <w:tcPr>
            <w:tcW w:w="6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8"/>
                <w:szCs w:val="18"/>
                <w:color w:val="auto"/>
              </w:rPr>
              <w:t>F-11</w:t>
            </w:r>
          </w:p>
        </w:tc>
        <w:tc>
          <w:tcPr>
            <w:tcW w:w="14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0" w:name="page21"/>
    <w:bookmarkEnd w:id="20"/>
    <w:p>
      <w:pPr>
        <w:ind w:right="120"/>
        <w:spacing w:after="0" w:line="254" w:lineRule="auto"/>
        <w:rPr>
          <w:sz w:val="20"/>
          <w:szCs w:val="20"/>
          <w:color w:val="auto"/>
        </w:rPr>
      </w:pPr>
      <w:r>
        <w:rPr>
          <w:rFonts w:ascii="Times New Roman" w:cs="Times New Roman" w:eastAsia="Times New Roman" w:hAnsi="Times New Roman"/>
          <w:sz w:val="18"/>
          <w:szCs w:val="18"/>
          <w:color w:val="auto"/>
        </w:rPr>
        <w:t>The net increase in contract assets as of 31 March 2026 is due to the revenue recognized when the performance obligation has been met which is offset by transfer of amounts to trade receivables on the basis that the Group’s right to that consideration is no longer contingent on its performance. The net decrease in contract liabilities as of 31 March 2026 is due to revenue recognized when the performance obligation has been met which is offset by customer prepayments in advance of the Group's performance. As of 31 March 2026, $130.0 million and $58.4 million are recorded as non-current contract assets and current contract assets, respectively. Non-current contract assets will materialize over the next 2 to 4 years. As of 31 March 2026, $13.1 million and $9.5 million are recorded as non-current contract liabilities and current contract liabilities, respectively. Non-current contract liabilities will be recognized as revenue over the next 2 to 3 years as either services are rendered or contractual milestones are achieved, depending on the performance obligation to which the payment relates.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22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Due to the long-term nature of the Group’s out-license contracts, the Group’s obligations pursuant to such contracts represent partially unsatisfied performance obligations at the end of the period. The revenues under existing out-license contracts with original expected durations of more than one year are estimated to be $294.6 million. The Group expects to recognize the majority of these revenues over the next 5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Out-license agreements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Teva Pharmaceutical Industries Ltd. (Teva)</w:t>
      </w:r>
    </w:p>
    <w:p>
      <w:pPr>
        <w:spacing w:after="0" w:line="227"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In August 2020, the Group entered into an exclusive strategic agreement with Teva for the commercialization in the United States for five of the Group’s biosimilar product candidates. The initial pipeline contains biosimilar candidates addressing multiple therapeutic areas. Under this agreement, the Group will be responsible for the development, registration and supply of the biosimilars, while Teva will be exclusively commercializing the products in the United States pursuant to an intellectual property license granted by the Group to Teva. This agreement was subsequently amended in June 2021, February 2023, and July 2023, for the exclusive commercialization of additional biosimilar products in the United States.</w:t>
      </w:r>
    </w:p>
    <w:p>
      <w:pPr>
        <w:spacing w:after="0" w:line="18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connection with the agreement, Teva made upfront payments of $40 million up to 31 March 2026. The Group also received $70.0 million in development milestones, $40.0 million in milestones related to the first commercial sale and other sales target through 31 March 2026, and is entitled to receive up to an additional $465 million in development and sales target milestones. Subject to some limitations, as consideration for supply of product the Group will receive 40% of the value of Teva’s net sales of the products.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STADA Arzneimittel AG (Stada)</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November 2019, the Group entered into an exclusive strategic agreement with Stada for the commercialization of six biosimilar products in all key European markets and selected markets outside Europe. The initial pipeline contains biosimilar candidates aimed at treating autoimmunity, oncology, ophthalmology and inflammatory conditions. Under this agreement, the Group will be responsible for the development, registration and supply of the biosimilars, while Stada will be exclusively commercializing the products in the relevant territories pursuant to an intellectual property license granted by the Group to Stada.</w:t>
      </w:r>
    </w:p>
    <w:p>
      <w:pPr>
        <w:spacing w:after="0" w:line="18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Three product agreements were terminated in May 2023, resulting in repayment of €17.4 million and reversion of rights to the Group. Subsequent amendments expanded Stada’s commercial rights for the remaining three biosimilars to additional territories.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agreement, Stada made an upfront payment of $6.7 million up to 31 March 2026. The Group also received $73.4 million in development milestones, $25.5 million in milestones related to the first commercial sale and other sales target through 31 March 2026, and is entitled to receive up to an aggregate of $6.9 million in development and sales target milestones. The Group is also expected to receive a royalty of approximately 40% of the estimated net selling price from Stada’s and its affiliates’ commercialization of the contracted biosimilar products.</w:t>
      </w:r>
    </w:p>
    <w:p>
      <w:pPr>
        <w:spacing w:after="0" w:line="28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0"/>
          </w:cols>
          <w:pgMar w:left="980" w:top="796" w:right="339" w:bottom="1440" w:gutter="0" w:footer="0" w:header="0"/>
        </w:sectPr>
      </w:pPr>
    </w:p>
    <w:bookmarkStart w:id="21" w:name="page22"/>
    <w:bookmarkEnd w:id="21"/>
    <w:p>
      <w:pPr>
        <w:ind w:left="652"/>
        <w:spacing w:after="0"/>
        <w:rPr>
          <w:sz w:val="20"/>
          <w:szCs w:val="20"/>
          <w:color w:val="auto"/>
        </w:rPr>
      </w:pPr>
      <w:r>
        <w:rPr>
          <w:rFonts w:ascii="Times New Roman" w:cs="Times New Roman" w:eastAsia="Times New Roman" w:hAnsi="Times New Roman"/>
          <w:sz w:val="18"/>
          <w:szCs w:val="18"/>
          <w:i w:val="1"/>
          <w:iCs w:val="1"/>
          <w:color w:val="auto"/>
        </w:rPr>
        <w:t>Advanz Pharma Holdings (Advanz Pharma)</w:t>
      </w:r>
    </w:p>
    <w:p>
      <w:pPr>
        <w:spacing w:after="0" w:line="227" w:lineRule="exact"/>
        <w:rPr>
          <w:sz w:val="20"/>
          <w:szCs w:val="20"/>
          <w:color w:val="auto"/>
        </w:rPr>
      </w:pPr>
    </w:p>
    <w:p>
      <w:pPr>
        <w:ind w:left="652"/>
        <w:spacing w:after="0" w:line="261" w:lineRule="auto"/>
        <w:rPr>
          <w:sz w:val="20"/>
          <w:szCs w:val="20"/>
          <w:color w:val="auto"/>
        </w:rPr>
      </w:pPr>
      <w:r>
        <w:rPr>
          <w:rFonts w:ascii="Times New Roman" w:cs="Times New Roman" w:eastAsia="Times New Roman" w:hAnsi="Times New Roman"/>
          <w:sz w:val="18"/>
          <w:szCs w:val="18"/>
          <w:color w:val="auto"/>
        </w:rPr>
        <w:t>In February 2023, the Group entered into an exclusive strategic agreement with Advanz Pharma for the commercialization of one biosimilar in the European Economic Area, UK, Switzerland, Canada, Australia, and New Zealand. Under the agreement, the Group is responsible for development and supply, while Advanz Pharma handles registration and commercialization. The partnership was expanded in May 2023 to include five additional biosimilar products in Europe.</w:t>
      </w:r>
    </w:p>
    <w:p>
      <w:pPr>
        <w:spacing w:after="0" w:line="180" w:lineRule="exact"/>
        <w:rPr>
          <w:sz w:val="20"/>
          <w:szCs w:val="20"/>
          <w:color w:val="auto"/>
        </w:rPr>
      </w:pPr>
    </w:p>
    <w:p>
      <w:pPr>
        <w:ind w:left="652" w:right="260"/>
        <w:spacing w:after="0" w:line="261" w:lineRule="auto"/>
        <w:rPr>
          <w:sz w:val="20"/>
          <w:szCs w:val="20"/>
          <w:color w:val="auto"/>
        </w:rPr>
      </w:pPr>
      <w:r>
        <w:rPr>
          <w:rFonts w:ascii="Times New Roman" w:cs="Times New Roman" w:eastAsia="Times New Roman" w:hAnsi="Times New Roman"/>
          <w:sz w:val="18"/>
          <w:szCs w:val="18"/>
          <w:color w:val="auto"/>
        </w:rPr>
        <w:t>Further amendments in June 2024 and May 2025 extended the partnership to include five additional biosimilar products. Advanz Pharma holds exclusive commercialization rights in Europe, with semi-exclusive rights in Germany and France for two of the products.</w:t>
      </w:r>
    </w:p>
    <w:p>
      <w:pPr>
        <w:ind w:left="652" w:right="240"/>
        <w:spacing w:after="0" w:line="253" w:lineRule="auto"/>
        <w:rPr>
          <w:sz w:val="20"/>
          <w:szCs w:val="20"/>
          <w:color w:val="auto"/>
        </w:rPr>
      </w:pPr>
      <w:r>
        <w:rPr>
          <w:rFonts w:ascii="Times New Roman" w:cs="Times New Roman" w:eastAsia="Times New Roman" w:hAnsi="Times New Roman"/>
          <w:sz w:val="18"/>
          <w:szCs w:val="18"/>
          <w:color w:val="auto"/>
        </w:rPr>
        <w:t>In connection with the agreements, Advanz Pharma made upfront payments of $156.6 million up to 31 March 2026. The Group also received $61.2 million development milestones, $4.2 million in milestones related to the first commercial sale and other sales target through 31 March 2026. Additionally, the Group is eligible to receive up to an additional $534.7 million in development and sales target milestones. The Group is also expected to receive a royalty of 40% of the estimated net selling price from Advanz Pharma’s and its affiliates’ commercialization of the contracted biosimilar products.</w:t>
      </w:r>
    </w:p>
    <w:p>
      <w:pPr>
        <w:spacing w:after="0" w:line="185"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i w:val="1"/>
          <w:iCs w:val="1"/>
          <w:color w:val="auto"/>
        </w:rPr>
        <w:t>Alvogen Inc. (Alvogen)</w:t>
      </w:r>
    </w:p>
    <w:p>
      <w:pPr>
        <w:spacing w:after="0" w:line="227" w:lineRule="exact"/>
        <w:rPr>
          <w:sz w:val="20"/>
          <w:szCs w:val="20"/>
          <w:color w:val="auto"/>
        </w:rPr>
      </w:pPr>
    </w:p>
    <w:p>
      <w:pPr>
        <w:ind w:left="652" w:right="100"/>
        <w:spacing w:after="0" w:line="312" w:lineRule="auto"/>
        <w:rPr>
          <w:sz w:val="20"/>
          <w:szCs w:val="20"/>
          <w:color w:val="auto"/>
        </w:rPr>
      </w:pPr>
      <w:r>
        <w:rPr>
          <w:rFonts w:ascii="Times New Roman" w:cs="Times New Roman" w:eastAsia="Times New Roman" w:hAnsi="Times New Roman"/>
          <w:sz w:val="17"/>
          <w:szCs w:val="17"/>
          <w:color w:val="auto"/>
        </w:rPr>
        <w:t>In December 2025, the Group entered into an exclusive strategic agreement with Alvogen for the commercialization of three biosimilar in United States. Under the agreement, the Group is responsible for development and supply, while Alvogen handles registration and commercialization.</w:t>
      </w:r>
    </w:p>
    <w:p>
      <w:pPr>
        <w:spacing w:after="0" w:line="140" w:lineRule="exact"/>
        <w:rPr>
          <w:sz w:val="20"/>
          <w:szCs w:val="20"/>
          <w:color w:val="auto"/>
        </w:rPr>
      </w:pPr>
    </w:p>
    <w:p>
      <w:pPr>
        <w:ind w:left="652" w:right="100"/>
        <w:spacing w:after="0" w:line="261" w:lineRule="auto"/>
        <w:rPr>
          <w:sz w:val="20"/>
          <w:szCs w:val="20"/>
          <w:color w:val="auto"/>
        </w:rPr>
      </w:pPr>
      <w:r>
        <w:rPr>
          <w:rFonts w:ascii="Times New Roman" w:cs="Times New Roman" w:eastAsia="Times New Roman" w:hAnsi="Times New Roman"/>
          <w:sz w:val="18"/>
          <w:szCs w:val="18"/>
          <w:color w:val="auto"/>
        </w:rPr>
        <w:t>In connection with the agreement, Alvogen made upfront payments of $15.0 million up to 31 March 2026. Additionally, the Group is eligible to receive up to an additional $195.0 million in development, regulatory and sales target milestones. The Group is also expected to receive a royalty of 40% of the estimated net selling price from Alvogen’s and its affiliates’ commercialization of the contracted biosimilar products. Alvogen is a related party to the Company (refer to Note 18 for further details).</w:t>
      </w:r>
    </w:p>
    <w:p>
      <w:pPr>
        <w:spacing w:after="0" w:line="180" w:lineRule="exact"/>
        <w:rPr>
          <w:sz w:val="20"/>
          <w:szCs w:val="20"/>
          <w:color w:val="auto"/>
        </w:rPr>
      </w:pPr>
    </w:p>
    <w:p>
      <w:pPr>
        <w:ind w:left="652" w:hanging="652"/>
        <w:spacing w:after="0"/>
        <w:tabs>
          <w:tab w:leader="none" w:pos="6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income and finance costs</w:t>
      </w:r>
    </w:p>
    <w:p>
      <w:pPr>
        <w:spacing w:after="0" w:line="225"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income earned for the three months ended 31 March 2026 and 2025 are as follows:</w:t>
      </w:r>
    </w:p>
    <w:p>
      <w:pPr>
        <w:spacing w:after="0" w:line="239" w:lineRule="exact"/>
        <w:rPr>
          <w:sz w:val="20"/>
          <w:szCs w:val="20"/>
          <w:color w:val="auto"/>
        </w:rPr>
      </w:pPr>
    </w:p>
    <w:tbl>
      <w:tblPr>
        <w:tblLayout w:type="fixed"/>
        <w:tblInd w:w="652"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p>
        </w:tc>
        <w:tc>
          <w:tcPr>
            <w:tcW w:w="192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8"/>
                <w:szCs w:val="18"/>
                <w:color w:val="auto"/>
              </w:rPr>
              <w:t>31 March</w:t>
            </w:r>
          </w:p>
        </w:tc>
        <w:tc>
          <w:tcPr>
            <w:tcW w:w="1000" w:type="dxa"/>
            <w:vAlign w:val="bottom"/>
            <w:tcBorders>
              <w:bottom w:val="single" w:sz="8" w:color="auto"/>
            </w:tcBorders>
          </w:tcPr>
          <w:p>
            <w:pPr>
              <w:spacing w:after="0"/>
              <w:rPr>
                <w:sz w:val="20"/>
                <w:szCs w:val="20"/>
                <w:color w:val="auto"/>
              </w:rPr>
            </w:pPr>
          </w:p>
        </w:tc>
      </w:tr>
      <w:tr>
        <w:trPr>
          <w:trHeight w:val="223"/>
        </w:trPr>
        <w:tc>
          <w:tcPr>
            <w:tcW w:w="71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r>
      <w:tr>
        <w:trPr>
          <w:trHeight w:val="21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the fair value of derivatives (see Note 20)</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32,231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125,609</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from cash and cash equivalents</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674</w:t>
            </w:r>
          </w:p>
        </w:tc>
      </w:tr>
      <w:tr>
        <w:trPr>
          <w:trHeight w:val="23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interest income</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r>
      <w:tr>
        <w:trPr>
          <w:trHeight w:val="210"/>
        </w:trPr>
        <w:tc>
          <w:tcPr>
            <w:tcW w:w="7180" w:type="dxa"/>
            <w:vAlign w:val="bottom"/>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33,414</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126,308</w:t>
            </w:r>
          </w:p>
        </w:tc>
      </w:tr>
      <w:tr>
        <w:trPr>
          <w:trHeight w:val="425"/>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Finance costs incurred for the three months ended 31 March 2026 and 2025 are as follows: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45"/>
        </w:trPr>
        <w:tc>
          <w:tcPr>
            <w:tcW w:w="7180" w:type="dxa"/>
            <w:vAlign w:val="bottom"/>
          </w:tcPr>
          <w:p>
            <w:pPr>
              <w:spacing w:after="0"/>
              <w:rPr>
                <w:sz w:val="24"/>
                <w:szCs w:val="24"/>
                <w:color w:val="auto"/>
              </w:rPr>
            </w:pPr>
          </w:p>
        </w:tc>
        <w:tc>
          <w:tcPr>
            <w:tcW w:w="192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8"/>
                <w:szCs w:val="18"/>
                <w:color w:val="auto"/>
              </w:rPr>
              <w:t>31 March</w:t>
            </w:r>
          </w:p>
        </w:tc>
        <w:tc>
          <w:tcPr>
            <w:tcW w:w="1000" w:type="dxa"/>
            <w:vAlign w:val="bottom"/>
            <w:tcBorders>
              <w:bottom w:val="single" w:sz="8" w:color="auto"/>
            </w:tcBorders>
          </w:tcPr>
          <w:p>
            <w:pPr>
              <w:spacing w:after="0"/>
              <w:rPr>
                <w:sz w:val="24"/>
                <w:szCs w:val="24"/>
                <w:color w:val="auto"/>
              </w:rPr>
            </w:pPr>
          </w:p>
        </w:tc>
      </w:tr>
      <w:tr>
        <w:trPr>
          <w:trHeight w:val="210"/>
        </w:trPr>
        <w:tc>
          <w:tcPr>
            <w:tcW w:w="7180" w:type="dxa"/>
            <w:vAlign w:val="bottom"/>
          </w:tcPr>
          <w:p>
            <w:pPr>
              <w:spacing w:after="0"/>
              <w:rPr>
                <w:sz w:val="18"/>
                <w:szCs w:val="18"/>
                <w:color w:val="auto"/>
              </w:rPr>
            </w:pPr>
          </w:p>
        </w:tc>
        <w:tc>
          <w:tcPr>
            <w:tcW w:w="14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debt and borrowings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(32,041)</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Interest on lease liabilities (see Note 10)</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w:t>
            </w:r>
          </w:p>
        </w:tc>
      </w:tr>
      <w:tr>
        <w:trPr>
          <w:trHeight w:val="229"/>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deferred debt issue costs</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r>
      <w:tr>
        <w:trPr>
          <w:trHeight w:val="210"/>
        </w:trPr>
        <w:tc>
          <w:tcPr>
            <w:tcW w:w="718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(40,807)</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(35,539)</w:t>
            </w:r>
          </w:p>
        </w:tc>
      </w:tr>
    </w:tbl>
    <w:p>
      <w:pPr>
        <w:spacing w:after="0" w:line="198" w:lineRule="exact"/>
        <w:rPr>
          <w:sz w:val="20"/>
          <w:szCs w:val="20"/>
          <w:color w:val="auto"/>
        </w:rPr>
      </w:pPr>
    </w:p>
    <w:p>
      <w:pPr>
        <w:ind w:left="652" w:hanging="652"/>
        <w:spacing w:after="0"/>
        <w:tabs>
          <w:tab w:leader="none" w:pos="6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w:t>
      </w:r>
    </w:p>
    <w:p>
      <w:pPr>
        <w:spacing w:after="0" w:line="225" w:lineRule="exact"/>
        <w:rPr>
          <w:rFonts w:ascii="Times New Roman" w:cs="Times New Roman" w:eastAsia="Times New Roman" w:hAnsi="Times New Roman"/>
          <w:sz w:val="18"/>
          <w:szCs w:val="18"/>
          <w:color w:val="auto"/>
        </w:rPr>
      </w:pPr>
    </w:p>
    <w:p>
      <w:pPr>
        <w:ind w:left="652" w:right="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Group’s effective tax rate for the three months ended 31 March 2026 and 2025 was (4.5)% and (17.4)%, based on a tax benefit respectively. The effective tax rate for both periods is mainly influenced by the fair value adjustments of the derivative financial liabilities (refer to Note 20) which are not tax effected, non-deductible interest and losses incurred in Luxembourg for which no deferred tax asset is recognized and other permanent differences. The effective tax rate for both periods is effected by a favorable foreign exchange impact arising from the strengthening of the Icelandic krona against the U.S. dollar which increased the U.S. dollar value of tax loss carryforwards denominated in Icelandic krona.</w:t>
      </w:r>
    </w:p>
    <w:p>
      <w:pPr>
        <w:spacing w:after="0" w:line="29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12"/>
          </w:cols>
          <w:pgMar w:left="328" w:top="578" w:right="359" w:bottom="1440" w:gutter="0" w:footer="0" w:header="0"/>
        </w:sectPr>
      </w:pPr>
    </w:p>
    <w:bookmarkStart w:id="22" w:name="page23"/>
    <w:bookmarkEnd w:id="22"/>
    <w:p>
      <w:pPr>
        <w:ind w:left="660" w:right="140"/>
        <w:spacing w:after="0" w:line="258" w:lineRule="auto"/>
        <w:rPr>
          <w:sz w:val="20"/>
          <w:szCs w:val="20"/>
          <w:color w:val="auto"/>
        </w:rPr>
      </w:pPr>
      <w:r>
        <w:rPr>
          <w:rFonts w:ascii="Times New Roman" w:cs="Times New Roman" w:eastAsia="Times New Roman" w:hAnsi="Times New Roman"/>
          <w:sz w:val="18"/>
          <w:szCs w:val="18"/>
          <w:color w:val="auto"/>
        </w:rPr>
        <w:t>Deferred tax assets have been recognized in relation to ordinary timing differences arising from amortization, depreciation, reserves, employee benefits other provisions and tax losses carried forward in the Group. The deferred tax assets on tax losses relates to tax losses arising in Iceland that management considers probable that future forecasted profit associated with product, license and other revenue will be available to offset the tax losses as of 31 March 2026. No deferred tax asset is recognized on tax losses arising in Luxembourg as their recoverability is unlikely to be realized.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31 March 2026, the Group had $192.9 million in deferred tax assets and $192.2 million as of 31 December 2025.</w:t>
      </w:r>
    </w:p>
    <w:p>
      <w:pPr>
        <w:spacing w:after="0" w:line="225"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 / (loss) per share</w:t>
      </w:r>
    </w:p>
    <w:p>
      <w:pPr>
        <w:spacing w:after="0" w:line="225" w:lineRule="exact"/>
        <w:rPr>
          <w:rFonts w:ascii="Times New Roman" w:cs="Times New Roman" w:eastAsia="Times New Roman" w:hAnsi="Times New Roman"/>
          <w:sz w:val="18"/>
          <w:szCs w:val="18"/>
          <w:color w:val="auto"/>
        </w:rPr>
      </w:pPr>
    </w:p>
    <w:p>
      <w:pPr>
        <w:ind w:left="660"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basic profit per share for the three months ended 31 March 2026 and 2025 is as follows (in thousands, except for share and per share amounts):</w:t>
      </w:r>
    </w:p>
    <w:p>
      <w:pPr>
        <w:sectPr>
          <w:pgSz w:w="11900" w:h="16838" w:orient="portrait"/>
          <w:cols w:equalWidth="0" w:num="1">
            <w:col w:w="11240"/>
          </w:cols>
          <w:pgMar w:left="320" w:top="796"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-127635</wp:posOffset>
            </wp:positionV>
            <wp:extent cx="641223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Profit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641223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Number of shares</w:t>
      </w:r>
    </w:p>
    <w:p>
      <w:pPr>
        <w:spacing w:after="0" w:line="9" w:lineRule="exact"/>
        <w:rPr>
          <w:sz w:val="20"/>
          <w:szCs w:val="20"/>
          <w:color w:val="auto"/>
        </w:rPr>
      </w:pPr>
    </w:p>
    <w:p>
      <w:pPr>
        <w:ind w:left="660" w:right="2460" w:firstLine="312"/>
        <w:spacing w:after="0" w:line="276" w:lineRule="auto"/>
        <w:rPr>
          <w:sz w:val="20"/>
          <w:szCs w:val="20"/>
          <w:color w:val="auto"/>
        </w:rPr>
      </w:pPr>
      <w:r>
        <w:rPr>
          <w:rFonts w:ascii="Times New Roman" w:cs="Times New Roman" w:eastAsia="Times New Roman" w:hAnsi="Times New Roman"/>
          <w:sz w:val="18"/>
          <w:szCs w:val="18"/>
          <w:color w:val="auto"/>
        </w:rPr>
        <w:t>Weighted average number of ordinary shares outstanding Basic profit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-156210</wp:posOffset>
            </wp:positionV>
            <wp:extent cx="641223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120"/>
        <w:spacing w:after="0"/>
        <w:tabs>
          <w:tab w:leader="none" w:pos="1600" w:val="left"/>
        </w:tabs>
        <w:rPr>
          <w:sz w:val="20"/>
          <w:szCs w:val="20"/>
          <w:color w:val="auto"/>
        </w:rPr>
      </w:pPr>
      <w:r>
        <w:rPr>
          <w:rFonts w:ascii="Times New Roman" w:cs="Times New Roman" w:eastAsia="Times New Roman" w:hAnsi="Times New Roman"/>
          <w:sz w:val="18"/>
          <w:szCs w:val="18"/>
          <w:color w:val="auto"/>
        </w:rPr>
        <w:t>2026</w:t>
      </w:r>
      <w:r>
        <w:rPr>
          <w:sz w:val="20"/>
          <w:szCs w:val="20"/>
          <w:color w:val="auto"/>
        </w:rPr>
        <w:tab/>
      </w:r>
      <w:r>
        <w:rPr>
          <w:rFonts w:ascii="Times New Roman" w:cs="Times New Roman" w:eastAsia="Times New Roman" w:hAnsi="Times New Roman"/>
          <w:sz w:val="18"/>
          <w:szCs w:val="18"/>
          <w:color w:val="auto"/>
        </w:rPr>
        <w:t>2025</w:t>
      </w:r>
    </w:p>
    <w:p>
      <w:pPr>
        <w:spacing w:after="0" w:line="239" w:lineRule="exact"/>
        <w:rPr>
          <w:sz w:val="20"/>
          <w:szCs w:val="20"/>
          <w:color w:val="auto"/>
        </w:rPr>
      </w:pPr>
    </w:p>
    <w:p>
      <w:pPr>
        <w:jc w:val="both"/>
        <w:ind w:left="500"/>
        <w:spacing w:after="0"/>
        <w:tabs>
          <w:tab w:leader="none" w:pos="1800" w:val="left"/>
        </w:tabs>
        <w:rPr>
          <w:sz w:val="20"/>
          <w:szCs w:val="20"/>
          <w:color w:val="auto"/>
        </w:rPr>
      </w:pPr>
      <w:r>
        <w:rPr>
          <w:rFonts w:ascii="Times New Roman" w:cs="Times New Roman" w:eastAsia="Times New Roman" w:hAnsi="Times New Roman"/>
          <w:sz w:val="18"/>
          <w:szCs w:val="18"/>
          <w:color w:val="auto"/>
        </w:rPr>
        <w:t>1,030</w:t>
      </w:r>
      <w:r>
        <w:rPr>
          <w:sz w:val="20"/>
          <w:szCs w:val="20"/>
          <w:color w:val="auto"/>
        </w:rPr>
        <w:tab/>
      </w:r>
      <w:r>
        <w:rPr>
          <w:rFonts w:ascii="Times New Roman" w:cs="Times New Roman" w:eastAsia="Times New Roman" w:hAnsi="Times New Roman"/>
          <w:sz w:val="18"/>
          <w:szCs w:val="18"/>
          <w:color w:val="auto"/>
        </w:rPr>
        <w:t>109,680</w:t>
      </w:r>
    </w:p>
    <w:p>
      <w:pPr>
        <w:spacing w:after="0" w:line="239"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color w:val="auto"/>
        </w:rPr>
        <w:t>294,297,929</w:t>
      </w:r>
      <w:r>
        <w:rPr>
          <w:sz w:val="20"/>
          <w:szCs w:val="20"/>
          <w:color w:val="auto"/>
        </w:rPr>
        <w:tab/>
      </w:r>
      <w:r>
        <w:rPr>
          <w:rFonts w:ascii="Times New Roman" w:cs="Times New Roman" w:eastAsia="Times New Roman" w:hAnsi="Times New Roman"/>
          <w:sz w:val="18"/>
          <w:szCs w:val="18"/>
          <w:color w:val="auto"/>
        </w:rPr>
        <w:t>284,059,500</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—0.39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14605</wp:posOffset>
            </wp:positionV>
            <wp:extent cx="18516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33" w:lineRule="exact"/>
        <w:rPr>
          <w:sz w:val="20"/>
          <w:szCs w:val="20"/>
          <w:color w:val="auto"/>
        </w:rPr>
      </w:pPr>
    </w:p>
    <w:p>
      <w:pPr>
        <w:sectPr>
          <w:pgSz w:w="11900" w:h="16838" w:orient="portrait"/>
          <w:cols w:equalWidth="0" w:num="2">
            <w:col w:w="7540" w:space="720"/>
            <w:col w:w="2980"/>
          </w:cols>
          <w:pgMar w:left="320" w:top="796" w:right="339" w:bottom="1440" w:gutter="0" w:footer="0" w:header="0"/>
          <w:type w:val="continuous"/>
        </w:sectPr>
      </w:pPr>
    </w:p>
    <w:p>
      <w:pPr>
        <w:ind w:left="660" w:right="80"/>
        <w:spacing w:after="0" w:line="258" w:lineRule="auto"/>
        <w:rPr>
          <w:sz w:val="20"/>
          <w:szCs w:val="20"/>
          <w:color w:val="auto"/>
        </w:rPr>
      </w:pPr>
      <w:r>
        <w:rPr>
          <w:rFonts w:ascii="Times New Roman" w:cs="Times New Roman" w:eastAsia="Times New Roman" w:hAnsi="Times New Roman"/>
          <w:sz w:val="18"/>
          <w:szCs w:val="18"/>
          <w:color w:val="auto"/>
        </w:rPr>
        <w:t>Diluted earnings per share is calculated to give effect to the potential dilutive effect that could occur if additional ordinary shares were assumed to be issued under securities or instruments that may entitle their holders to obtain ordinary shares in the future, which include share-based compensation awards (see Note 17—Share-based payments for additional details) and the OACB warrants (see Note 20 —Financial instruments for additional details). The number of additional shares for inclusion in the diluted earnings per share calculation was determined using the treasury stock method.</w:t>
      </w:r>
    </w:p>
    <w:p>
      <w:pPr>
        <w:spacing w:after="0" w:line="183" w:lineRule="exact"/>
        <w:rPr>
          <w:sz w:val="20"/>
          <w:szCs w:val="20"/>
          <w:color w:val="auto"/>
        </w:rPr>
      </w:pPr>
    </w:p>
    <w:p>
      <w:pPr>
        <w:ind w:left="660" w:right="260"/>
        <w:spacing w:after="0" w:line="282" w:lineRule="auto"/>
        <w:rPr>
          <w:sz w:val="20"/>
          <w:szCs w:val="20"/>
          <w:color w:val="auto"/>
        </w:rPr>
      </w:pPr>
      <w:r>
        <w:rPr>
          <w:rFonts w:ascii="Times New Roman" w:cs="Times New Roman" w:eastAsia="Times New Roman" w:hAnsi="Times New Roman"/>
          <w:sz w:val="18"/>
          <w:szCs w:val="18"/>
          <w:color w:val="auto"/>
        </w:rPr>
        <w:t>The calculation of diluted profit per share for the three months ended 31 March 2026 and 2025 is as follows (in thousands, except for share and per share amounts):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718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Pr>
          <w:p>
            <w:pPr>
              <w:spacing w:after="0"/>
              <w:rPr>
                <w:sz w:val="20"/>
                <w:szCs w:val="20"/>
                <w:color w:val="auto"/>
              </w:rPr>
            </w:pPr>
          </w:p>
        </w:tc>
      </w:tr>
      <w:tr>
        <w:trPr>
          <w:trHeight w:val="209"/>
        </w:trPr>
        <w:tc>
          <w:tcPr>
            <w:tcW w:w="66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Profit for the period</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109,680</w:t>
            </w:r>
          </w:p>
        </w:tc>
        <w:tc>
          <w:tcPr>
            <w:tcW w:w="480" w:type="dxa"/>
            <w:vAlign w:val="bottom"/>
          </w:tcPr>
          <w:p>
            <w:pPr>
              <w:spacing w:after="0"/>
              <w:rPr>
                <w:sz w:val="18"/>
                <w:szCs w:val="18"/>
                <w:color w:val="auto"/>
              </w:rPr>
            </w:pPr>
          </w:p>
        </w:tc>
      </w:tr>
      <w:tr>
        <w:trPr>
          <w:trHeight w:val="229"/>
        </w:trPr>
        <w:tc>
          <w:tcPr>
            <w:tcW w:w="660" w:type="dxa"/>
            <w:vAlign w:val="bottom"/>
          </w:tcPr>
          <w:p>
            <w:pPr>
              <w:spacing w:after="0"/>
              <w:rPr>
                <w:sz w:val="19"/>
                <w:szCs w:val="19"/>
                <w:color w:val="auto"/>
              </w:rPr>
            </w:pPr>
          </w:p>
        </w:tc>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After-tax impact of fair value adjustment OACB warrants</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(8,443)</w:t>
            </w:r>
          </w:p>
        </w:tc>
        <w:tc>
          <w:tcPr>
            <w:tcW w:w="48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Fully diluted profit for the period</w:t>
            </w:r>
          </w:p>
        </w:tc>
        <w:tc>
          <w:tcPr>
            <w:tcW w:w="14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spacing w:after="0"/>
              <w:rPr>
                <w:sz w:val="18"/>
                <w:szCs w:val="18"/>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101,237</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number of ordinary shares outstanding</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294,297,929</w:t>
            </w:r>
          </w:p>
        </w:tc>
        <w:tc>
          <w:tcPr>
            <w:tcW w:w="10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284,059,500</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Dilutive effect of share-based compensation</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660,687</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1,991,166</w:t>
            </w:r>
          </w:p>
        </w:tc>
        <w:tc>
          <w:tcPr>
            <w:tcW w:w="48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 of OACB warrants</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274,817</w:t>
            </w:r>
          </w:p>
        </w:tc>
        <w:tc>
          <w:tcPr>
            <w:tcW w:w="48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number of diluted ordinary shares outstanding</w:t>
            </w:r>
          </w:p>
        </w:tc>
        <w:tc>
          <w:tcPr>
            <w:tcW w:w="14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294,958,616</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286,325,483</w:t>
            </w:r>
          </w:p>
        </w:tc>
        <w:tc>
          <w:tcPr>
            <w:tcW w:w="48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Diluted profit per share</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0.35</w:t>
            </w:r>
          </w:p>
        </w:tc>
        <w:tc>
          <w:tcPr>
            <w:tcW w:w="480" w:type="dxa"/>
            <w:vAlign w:val="bottom"/>
          </w:tcPr>
          <w:p>
            <w:pPr>
              <w:spacing w:after="0"/>
              <w:rPr>
                <w:sz w:val="18"/>
                <w:szCs w:val="18"/>
                <w:color w:val="auto"/>
              </w:rPr>
            </w:pPr>
          </w:p>
        </w:tc>
      </w:tr>
      <w:tr>
        <w:trPr>
          <w:trHeight w:val="567"/>
        </w:trPr>
        <w:tc>
          <w:tcPr>
            <w:tcW w:w="660" w:type="dxa"/>
            <w:vAlign w:val="bottom"/>
            <w:tcBorders>
              <w:bottom w:val="single" w:sz="8" w:color="auto"/>
            </w:tcBorders>
          </w:tcPr>
          <w:p>
            <w:pPr>
              <w:spacing w:after="0"/>
              <w:rPr>
                <w:sz w:val="24"/>
                <w:szCs w:val="24"/>
                <w:color w:val="auto"/>
              </w:rPr>
            </w:pPr>
          </w:p>
        </w:tc>
        <w:tc>
          <w:tcPr>
            <w:tcW w:w="7180" w:type="dxa"/>
            <w:vAlign w:val="bottom"/>
            <w:tcBorders>
              <w:bottom w:val="single" w:sz="8" w:color="auto"/>
            </w:tcBorders>
          </w:tcPr>
          <w:p>
            <w:pPr>
              <w:ind w:left="4800"/>
              <w:spacing w:after="0"/>
              <w:rPr>
                <w:sz w:val="20"/>
                <w:szCs w:val="20"/>
                <w:color w:val="auto"/>
              </w:rPr>
            </w:pPr>
            <w:r>
              <w:rPr>
                <w:rFonts w:ascii="Times New Roman" w:cs="Times New Roman" w:eastAsia="Times New Roman" w:hAnsi="Times New Roman"/>
                <w:sz w:val="18"/>
                <w:szCs w:val="18"/>
                <w:color w:val="auto"/>
              </w:rPr>
              <w:t>F-14</w:t>
            </w: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type w:val="continuous"/>
        </w:sectPr>
      </w:pPr>
    </w:p>
    <w:bookmarkStart w:id="23" w:name="page24"/>
    <w:bookmarkEnd w:id="23"/>
    <w:p>
      <w:pPr>
        <w:ind w:left="652" w:hanging="652"/>
        <w:spacing w:after="0"/>
        <w:tabs>
          <w:tab w:leader="none" w:pos="6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plant and equipment</w:t>
      </w:r>
    </w:p>
    <w:p>
      <w:pPr>
        <w:spacing w:after="0" w:line="225" w:lineRule="exact"/>
        <w:rPr>
          <w:rFonts w:ascii="Times New Roman" w:cs="Times New Roman" w:eastAsia="Times New Roman" w:hAnsi="Times New Roman"/>
          <w:sz w:val="18"/>
          <w:szCs w:val="18"/>
          <w:color w:val="auto"/>
        </w:rPr>
      </w:pPr>
    </w:p>
    <w:p>
      <w:pPr>
        <w:ind w:left="652" w:right="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31 March 2026, the Group acquired items of property, plant and equipment with a cost of $10.3 million, primarily consisting of facility equipment. The Group recognized $6.0 million and $4.7 million of depreciation expense for the three months ended 31 March 2026 and 2025, respectively.</w:t>
      </w:r>
    </w:p>
    <w:p>
      <w:pPr>
        <w:spacing w:after="0" w:line="175"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31 March 2026 and 2025, the Group recognized no impairments of property, plant and equipment.</w:t>
      </w:r>
    </w:p>
    <w:p>
      <w:pPr>
        <w:spacing w:after="0" w:line="225" w:lineRule="exact"/>
        <w:rPr>
          <w:rFonts w:ascii="Times New Roman" w:cs="Times New Roman" w:eastAsia="Times New Roman" w:hAnsi="Times New Roman"/>
          <w:sz w:val="18"/>
          <w:szCs w:val="18"/>
          <w:color w:val="auto"/>
        </w:rPr>
      </w:pPr>
    </w:p>
    <w:p>
      <w:pPr>
        <w:ind w:left="652"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pledged $360.2 million and $356.4 million of property, plant and equipment as collateral to secure borrowings with third parties as of 31 March 2026 and 31 December 2025, respectively.</w:t>
      </w:r>
    </w:p>
    <w:p>
      <w:pPr>
        <w:spacing w:after="0" w:line="16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w:t>
      </w:r>
    </w:p>
    <w:p>
      <w:pPr>
        <w:spacing w:after="0" w:line="225" w:lineRule="exact"/>
        <w:rPr>
          <w:rFonts w:ascii="Times New Roman" w:cs="Times New Roman" w:eastAsia="Times New Roman" w:hAnsi="Times New Roman"/>
          <w:sz w:val="18"/>
          <w:szCs w:val="18"/>
          <w:color w:val="auto"/>
        </w:rPr>
      </w:pPr>
    </w:p>
    <w:p>
      <w:pPr>
        <w:ind w:left="652" w:right="5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Group’s leased assets consist of facilities, fleet and equipment pursuant to both arrangements with third parties and related parties. The carrying amounts of the Group’s right-of-use assets and the movements during the three months ended 31 March 2026 are as follows:</w:t>
      </w:r>
    </w:p>
    <w:p>
      <w:pPr>
        <w:spacing w:after="0" w:line="175" w:lineRule="exact"/>
        <w:rPr>
          <w:sz w:val="20"/>
          <w:szCs w:val="20"/>
          <w:color w:val="auto"/>
        </w:rPr>
      </w:pPr>
    </w:p>
    <w:tbl>
      <w:tblPr>
        <w:tblLayout w:type="fixed"/>
        <w:tblInd w:w="652" w:type="dxa"/>
        <w:tblCellMar>
          <w:top w:w="0" w:type="dxa"/>
          <w:left w:w="0" w:type="dxa"/>
          <w:bottom w:w="0" w:type="dxa"/>
          <w:right w:w="0" w:type="dxa"/>
        </w:tblCellMar>
      </w:tblPr>
      <w:tr>
        <w:trPr>
          <w:trHeight w:val="234"/>
        </w:trPr>
        <w:tc>
          <w:tcPr>
            <w:tcW w:w="868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2026</w:t>
            </w:r>
          </w:p>
        </w:tc>
      </w:tr>
      <w:tr>
        <w:trPr>
          <w:trHeight w:val="20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Right-of-use assets</w:t>
            </w:r>
          </w:p>
        </w:tc>
        <w:tc>
          <w:tcPr>
            <w:tcW w:w="142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Balance at 1 January</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138,294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for indexed leases</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New leases</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Cancelled leases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difference</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0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Balance at 31 March</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135,001</w:t>
            </w:r>
          </w:p>
        </w:tc>
      </w:tr>
    </w:tbl>
    <w:p>
      <w:pPr>
        <w:spacing w:after="0" w:line="198" w:lineRule="exact"/>
        <w:rPr>
          <w:sz w:val="20"/>
          <w:szCs w:val="20"/>
          <w:color w:val="auto"/>
        </w:rPr>
      </w:pPr>
    </w:p>
    <w:p>
      <w:pPr>
        <w:ind w:left="652"/>
        <w:spacing w:after="0" w:line="282" w:lineRule="auto"/>
        <w:rPr>
          <w:sz w:val="20"/>
          <w:szCs w:val="20"/>
          <w:color w:val="auto"/>
        </w:rPr>
      </w:pPr>
      <w:r>
        <w:rPr>
          <w:rFonts w:ascii="Times New Roman" w:cs="Times New Roman" w:eastAsia="Times New Roman" w:hAnsi="Times New Roman"/>
          <w:sz w:val="18"/>
          <w:szCs w:val="18"/>
          <w:color w:val="auto"/>
        </w:rPr>
        <w:t>At the commencement date of the lease, the Group recognizes lease liabilities measured at the present value of lease payments to be made over the lease term. The Group’s lease liabilities and the movements during the three months ended 31 March 2026 are as follows:</w:t>
      </w:r>
    </w:p>
    <w:p>
      <w:pPr>
        <w:sectPr>
          <w:pgSz w:w="11900" w:h="16838" w:orient="portrait"/>
          <w:cols w:equalWidth="0" w:num="1">
            <w:col w:w="11212"/>
          </w:cols>
          <w:pgMar w:left="328" w:top="796" w:right="35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b w:val="1"/>
          <w:bCs w:val="1"/>
          <w:color w:val="auto"/>
        </w:rPr>
        <w:t>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-125095</wp:posOffset>
            </wp:positionV>
            <wp:extent cx="641223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11"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Balance at 1 January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5715</wp:posOffset>
            </wp:positionV>
            <wp:extent cx="641223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ind w:left="652"/>
        <w:spacing w:after="0"/>
        <w:rPr>
          <w:sz w:val="20"/>
          <w:szCs w:val="20"/>
          <w:color w:val="auto"/>
        </w:rPr>
      </w:pPr>
      <w:r>
        <w:rPr>
          <w:rFonts w:ascii="Times New Roman" w:cs="Times New Roman" w:eastAsia="Times New Roman" w:hAnsi="Times New Roman"/>
          <w:sz w:val="17"/>
          <w:szCs w:val="17"/>
          <w:color w:val="auto"/>
        </w:rPr>
        <w:t>Adjustments for indexed leases</w:t>
      </w:r>
    </w:p>
    <w:p>
      <w:pPr>
        <w:spacing w:after="0" w:line="21"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New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5715</wp:posOffset>
            </wp:positionV>
            <wp:extent cx="641223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ind w:left="652"/>
        <w:spacing w:after="0"/>
        <w:rPr>
          <w:sz w:val="20"/>
          <w:szCs w:val="20"/>
          <w:color w:val="auto"/>
        </w:rPr>
      </w:pPr>
      <w:r>
        <w:rPr>
          <w:rFonts w:ascii="Times New Roman" w:cs="Times New Roman" w:eastAsia="Times New Roman" w:hAnsi="Times New Roman"/>
          <w:sz w:val="18"/>
          <w:szCs w:val="18"/>
          <w:color w:val="auto"/>
        </w:rPr>
        <w:t>Cancelled leases</w:t>
      </w:r>
    </w:p>
    <w:p>
      <w:pPr>
        <w:spacing w:after="0" w:line="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Installment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5715</wp:posOffset>
            </wp:positionV>
            <wp:extent cx="641223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ind w:left="652"/>
        <w:spacing w:after="0"/>
        <w:rPr>
          <w:sz w:val="20"/>
          <w:szCs w:val="20"/>
          <w:color w:val="auto"/>
        </w:rPr>
      </w:pPr>
      <w:r>
        <w:rPr>
          <w:rFonts w:ascii="Times New Roman" w:cs="Times New Roman" w:eastAsia="Times New Roman" w:hAnsi="Times New Roman"/>
          <w:sz w:val="18"/>
          <w:szCs w:val="18"/>
          <w:color w:val="auto"/>
        </w:rPr>
        <w:t>Foreign currency adjustment</w:t>
      </w:r>
    </w:p>
    <w:p>
      <w:pPr>
        <w:spacing w:after="0" w:line="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Translation difference</w:t>
      </w:r>
    </w:p>
    <w:p>
      <w:pPr>
        <w:spacing w:after="0" w:line="18"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Balance at 31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-127635</wp:posOffset>
            </wp:positionV>
            <wp:extent cx="641223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7"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-121920</wp:posOffset>
            </wp:positionV>
            <wp:extent cx="641223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w:t>
      </w:r>
    </w:p>
    <w:p>
      <w:pPr>
        <w:spacing w:after="0" w:line="239" w:lineRule="exact"/>
        <w:rPr>
          <w:sz w:val="20"/>
          <w:szCs w:val="20"/>
          <w:color w:val="auto"/>
        </w:rPr>
      </w:pPr>
    </w:p>
    <w:p>
      <w:pPr>
        <w:jc w:val="right"/>
        <w:ind w:right="560"/>
        <w:spacing w:after="0"/>
        <w:rPr>
          <w:sz w:val="20"/>
          <w:szCs w:val="20"/>
          <w:color w:val="auto"/>
        </w:rPr>
      </w:pPr>
      <w:r>
        <w:rPr>
          <w:rFonts w:ascii="Times New Roman" w:cs="Times New Roman" w:eastAsia="Times New Roman" w:hAnsi="Times New Roman"/>
          <w:sz w:val="18"/>
          <w:szCs w:val="18"/>
          <w:color w:val="auto"/>
        </w:rPr>
        <w:t>150,077</w:t>
      </w:r>
    </w:p>
    <w:p>
      <w:pPr>
        <w:spacing w:after="0" w:line="27" w:lineRule="exact"/>
        <w:rPr>
          <w:sz w:val="20"/>
          <w:szCs w:val="20"/>
          <w:color w:val="auto"/>
        </w:rPr>
      </w:pPr>
    </w:p>
    <w:p>
      <w:pPr>
        <w:jc w:val="right"/>
        <w:ind w:right="560"/>
        <w:spacing w:after="0"/>
        <w:rPr>
          <w:sz w:val="20"/>
          <w:szCs w:val="20"/>
          <w:color w:val="auto"/>
        </w:rPr>
      </w:pPr>
      <w:r>
        <w:rPr>
          <w:rFonts w:ascii="Times New Roman" w:cs="Times New Roman" w:eastAsia="Times New Roman" w:hAnsi="Times New Roman"/>
          <w:sz w:val="18"/>
          <w:szCs w:val="18"/>
          <w:color w:val="auto"/>
        </w:rPr>
        <w:t>3,578</w:t>
      </w:r>
    </w:p>
    <w:p>
      <w:pPr>
        <w:spacing w:after="0" w:line="9" w:lineRule="exact"/>
        <w:rPr>
          <w:sz w:val="20"/>
          <w:szCs w:val="20"/>
          <w:color w:val="auto"/>
        </w:rPr>
      </w:pPr>
    </w:p>
    <w:p>
      <w:pPr>
        <w:jc w:val="right"/>
        <w:ind w:right="560"/>
        <w:spacing w:after="0"/>
        <w:rPr>
          <w:sz w:val="20"/>
          <w:szCs w:val="20"/>
          <w:color w:val="auto"/>
        </w:rPr>
      </w:pPr>
      <w:r>
        <w:rPr>
          <w:rFonts w:ascii="Times New Roman" w:cs="Times New Roman" w:eastAsia="Times New Roman" w:hAnsi="Times New Roman"/>
          <w:sz w:val="18"/>
          <w:szCs w:val="18"/>
          <w:color w:val="auto"/>
        </w:rPr>
        <w:t>245</w:t>
      </w:r>
    </w:p>
    <w:p>
      <w:pPr>
        <w:spacing w:after="0" w:line="9" w:lineRule="exact"/>
        <w:rPr>
          <w:sz w:val="20"/>
          <w:szCs w:val="20"/>
          <w:color w:val="auto"/>
        </w:rPr>
      </w:pPr>
    </w:p>
    <w:p>
      <w:pPr>
        <w:jc w:val="right"/>
        <w:ind w:right="500"/>
        <w:spacing w:after="0"/>
        <w:rPr>
          <w:sz w:val="20"/>
          <w:szCs w:val="20"/>
          <w:color w:val="auto"/>
        </w:rPr>
      </w:pPr>
      <w:r>
        <w:rPr>
          <w:rFonts w:ascii="Times New Roman" w:cs="Times New Roman" w:eastAsia="Times New Roman" w:hAnsi="Times New Roman"/>
          <w:sz w:val="18"/>
          <w:szCs w:val="18"/>
          <w:color w:val="auto"/>
        </w:rPr>
        <w:t>(3,257)</w:t>
      </w:r>
    </w:p>
    <w:p>
      <w:pPr>
        <w:spacing w:after="0" w:line="9" w:lineRule="exact"/>
        <w:rPr>
          <w:sz w:val="20"/>
          <w:szCs w:val="20"/>
          <w:color w:val="auto"/>
        </w:rPr>
      </w:pPr>
    </w:p>
    <w:p>
      <w:pPr>
        <w:jc w:val="right"/>
        <w:ind w:right="500"/>
        <w:spacing w:after="0"/>
        <w:rPr>
          <w:sz w:val="20"/>
          <w:szCs w:val="20"/>
          <w:color w:val="auto"/>
        </w:rPr>
      </w:pPr>
      <w:r>
        <w:rPr>
          <w:rFonts w:ascii="Times New Roman" w:cs="Times New Roman" w:eastAsia="Times New Roman" w:hAnsi="Times New Roman"/>
          <w:sz w:val="18"/>
          <w:szCs w:val="18"/>
          <w:color w:val="auto"/>
        </w:rPr>
        <w:t>(3,149)</w:t>
      </w:r>
    </w:p>
    <w:p>
      <w:pPr>
        <w:spacing w:after="0" w:line="9" w:lineRule="exact"/>
        <w:rPr>
          <w:sz w:val="20"/>
          <w:szCs w:val="20"/>
          <w:color w:val="auto"/>
        </w:rPr>
      </w:pPr>
    </w:p>
    <w:p>
      <w:pPr>
        <w:jc w:val="right"/>
        <w:ind w:right="560"/>
        <w:spacing w:after="0"/>
        <w:rPr>
          <w:sz w:val="20"/>
          <w:szCs w:val="20"/>
          <w:color w:val="auto"/>
        </w:rPr>
      </w:pPr>
      <w:r>
        <w:rPr>
          <w:rFonts w:ascii="Times New Roman" w:cs="Times New Roman" w:eastAsia="Times New Roman" w:hAnsi="Times New Roman"/>
          <w:sz w:val="18"/>
          <w:szCs w:val="18"/>
          <w:color w:val="auto"/>
        </w:rPr>
        <w:t>333</w:t>
      </w:r>
    </w:p>
    <w:p>
      <w:pPr>
        <w:spacing w:after="0" w:line="9" w:lineRule="exact"/>
        <w:rPr>
          <w:sz w:val="20"/>
          <w:szCs w:val="20"/>
          <w:color w:val="auto"/>
        </w:rPr>
      </w:pPr>
    </w:p>
    <w:p>
      <w:pPr>
        <w:jc w:val="right"/>
        <w:ind w:right="500"/>
        <w:spacing w:after="0"/>
        <w:rPr>
          <w:sz w:val="20"/>
          <w:szCs w:val="20"/>
          <w:color w:val="auto"/>
        </w:rPr>
      </w:pPr>
      <w:r>
        <w:rPr>
          <w:rFonts w:ascii="Times New Roman" w:cs="Times New Roman" w:eastAsia="Times New Roman" w:hAnsi="Times New Roman"/>
          <w:sz w:val="18"/>
          <w:szCs w:val="18"/>
          <w:color w:val="auto"/>
        </w:rPr>
        <w:t>(177)</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147,650</w:t>
      </w:r>
    </w:p>
    <w:p>
      <w:pPr>
        <w:spacing w:after="0" w:line="23" w:lineRule="exact"/>
        <w:rPr>
          <w:sz w:val="20"/>
          <w:szCs w:val="20"/>
          <w:color w:val="auto"/>
        </w:rPr>
      </w:pPr>
    </w:p>
    <w:p>
      <w:pPr>
        <w:jc w:val="right"/>
        <w:ind w:right="500"/>
        <w:spacing w:after="0"/>
        <w:rPr>
          <w:sz w:val="20"/>
          <w:szCs w:val="20"/>
          <w:color w:val="auto"/>
        </w:rPr>
      </w:pPr>
      <w:r>
        <w:rPr>
          <w:rFonts w:ascii="Times New Roman" w:cs="Times New Roman" w:eastAsia="Times New Roman" w:hAnsi="Times New Roman"/>
          <w:sz w:val="18"/>
          <w:szCs w:val="18"/>
          <w:color w:val="auto"/>
        </w:rPr>
        <w:t>(13,126)</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134,524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14605</wp:posOffset>
            </wp:positionV>
            <wp:extent cx="8915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52" w:space="720"/>
            <w:col w:w="1340"/>
          </w:cols>
          <w:pgMar w:left="328" w:top="796" w:right="359" w:bottom="1440" w:gutter="0" w:footer="0" w:header="0"/>
          <w:type w:val="continuous"/>
        </w:sectPr>
      </w:pPr>
    </w:p>
    <w:p>
      <w:pPr>
        <w:spacing w:after="0" w:line="142"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12"/>
          </w:cols>
          <w:pgMar w:left="328" w:top="796" w:right="359" w:bottom="1440" w:gutter="0" w:footer="0" w:header="0"/>
          <w:type w:val="continuous"/>
        </w:sectPr>
      </w:pPr>
    </w:p>
    <w:bookmarkStart w:id="24" w:name="page25"/>
    <w:bookmarkEnd w:id="24"/>
    <w:p>
      <w:pPr>
        <w:ind w:left="660" w:right="380"/>
        <w:spacing w:after="0" w:line="282" w:lineRule="auto"/>
        <w:rPr>
          <w:sz w:val="20"/>
          <w:szCs w:val="20"/>
          <w:color w:val="auto"/>
        </w:rPr>
      </w:pPr>
      <w:r>
        <w:rPr>
          <w:rFonts w:ascii="Times New Roman" w:cs="Times New Roman" w:eastAsia="Times New Roman" w:hAnsi="Times New Roman"/>
          <w:sz w:val="18"/>
          <w:szCs w:val="18"/>
          <w:color w:val="auto"/>
        </w:rPr>
        <w:t>The amounts recognized in the unaudited condensed consolidated interim statements of profit or loss and other comprehensive income or loss during the three months ended 31 March 2026 and 2025 in relation to the Group’s lease arrangements are as follows:</w:t>
      </w:r>
    </w:p>
    <w:p>
      <w:pPr>
        <w:spacing w:after="0" w:line="17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p>
        </w:tc>
        <w:tc>
          <w:tcPr>
            <w:tcW w:w="1920" w:type="dxa"/>
            <w:vAlign w:val="bottom"/>
            <w:tcBorders>
              <w:bottom w:val="single" w:sz="8" w:color="auto"/>
            </w:tcBorders>
            <w:gridSpan w:val="4"/>
          </w:tcPr>
          <w:p>
            <w:pPr>
              <w:ind w:left="1100"/>
              <w:spacing w:after="0"/>
              <w:rPr>
                <w:sz w:val="20"/>
                <w:szCs w:val="20"/>
                <w:color w:val="auto"/>
              </w:rPr>
            </w:pPr>
            <w:r>
              <w:rPr>
                <w:rFonts w:ascii="Times New Roman" w:cs="Times New Roman" w:eastAsia="Times New Roman" w:hAnsi="Times New Roman"/>
                <w:sz w:val="18"/>
                <w:szCs w:val="18"/>
                <w:color w:val="auto"/>
              </w:rPr>
              <w:t>31 March</w:t>
            </w:r>
          </w:p>
        </w:tc>
        <w:tc>
          <w:tcPr>
            <w:tcW w:w="1000" w:type="dxa"/>
            <w:vAlign w:val="bottom"/>
            <w:tcBorders>
              <w:bottom w:val="single" w:sz="8" w:color="auto"/>
            </w:tcBorders>
          </w:tcPr>
          <w:p>
            <w:pPr>
              <w:spacing w:after="0"/>
              <w:rPr>
                <w:sz w:val="20"/>
                <w:szCs w:val="20"/>
                <w:color w:val="auto"/>
              </w:rPr>
            </w:pPr>
          </w:p>
        </w:tc>
      </w:tr>
      <w:tr>
        <w:trPr>
          <w:trHeight w:val="223"/>
        </w:trPr>
        <w:tc>
          <w:tcPr>
            <w:tcW w:w="71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r>
      <w:tr>
        <w:trPr>
          <w:trHeight w:val="21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depreciation expense from right-of-use assets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lease liabilities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w:t>
            </w:r>
          </w:p>
        </w:tc>
      </w:tr>
      <w:tr>
        <w:trPr>
          <w:trHeight w:val="229"/>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difference on lease liability</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(5,886)</w:t>
            </w:r>
          </w:p>
        </w:tc>
      </w:tr>
      <w:tr>
        <w:trPr>
          <w:trHeight w:val="21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Total amount recognized in profit and loss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(10,783)</w:t>
            </w:r>
          </w:p>
        </w:tc>
      </w:tr>
      <w:tr>
        <w:trPr>
          <w:trHeight w:val="425"/>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The maturity analysis of undiscounted lease payments as of 31 March 2026 is as follows:</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46"/>
        </w:trPr>
        <w:tc>
          <w:tcPr>
            <w:tcW w:w="7180" w:type="dxa"/>
            <w:vAlign w:val="bottom"/>
            <w:tcBorders>
              <w:bottom w:val="single" w:sz="8" w:color="CCEEFF"/>
            </w:tcBorders>
          </w:tcPr>
          <w:p>
            <w:pPr>
              <w:spacing w:after="0"/>
              <w:rPr>
                <w:sz w:val="24"/>
                <w:szCs w:val="24"/>
                <w:color w:val="auto"/>
              </w:rPr>
            </w:pPr>
          </w:p>
        </w:tc>
        <w:tc>
          <w:tcPr>
            <w:tcW w:w="14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2026</w:t>
            </w:r>
          </w:p>
        </w:tc>
      </w:tr>
      <w:tr>
        <w:trPr>
          <w:trHeight w:val="209"/>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one year</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18,947</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One to five years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69,892</w:t>
            </w:r>
          </w:p>
        </w:tc>
      </w:tr>
      <w:tr>
        <w:trPr>
          <w:trHeight w:val="23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101,057</w:t>
            </w:r>
          </w:p>
        </w:tc>
      </w:tr>
      <w:tr>
        <w:trPr>
          <w:trHeight w:val="209"/>
        </w:trPr>
        <w:tc>
          <w:tcPr>
            <w:tcW w:w="7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189,896</w:t>
            </w:r>
          </w:p>
        </w:tc>
      </w:tr>
    </w:tbl>
    <w:p>
      <w:pPr>
        <w:spacing w:after="0" w:line="198"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Intangible assets</w:t>
      </w:r>
    </w:p>
    <w:p>
      <w:pPr>
        <w:spacing w:after="0" w:line="225" w:lineRule="exact"/>
        <w:rPr>
          <w:rFonts w:ascii="Times New Roman" w:cs="Times New Roman" w:eastAsia="Times New Roman" w:hAnsi="Times New Roman"/>
          <w:sz w:val="18"/>
          <w:szCs w:val="18"/>
          <w:color w:val="auto"/>
        </w:rPr>
      </w:pPr>
    </w:p>
    <w:p>
      <w:pPr>
        <w:ind w:left="660" w:right="7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31 March 2026, intangible assets increased by $38.3 million, mainly in-process development. The Group recognized $0.5 million and $0.5 million of amortization expense for the three months ended 31 March 2026 and 2025, respectively.</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31 March 2026 and 2025, the Group recognized no impairments of intangible assets.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w:t>
      </w:r>
    </w:p>
    <w:p>
      <w:pPr>
        <w:spacing w:after="0" w:line="225" w:lineRule="exact"/>
        <w:rPr>
          <w:rFonts w:ascii="Times New Roman" w:cs="Times New Roman" w:eastAsia="Times New Roman" w:hAnsi="Times New Roman"/>
          <w:sz w:val="18"/>
          <w:szCs w:val="18"/>
          <w:color w:val="auto"/>
        </w:rPr>
      </w:pPr>
    </w:p>
    <w:p>
      <w:pPr>
        <w:ind w:left="660"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include both cash in banks and on hand. Cash and cash equivalents as of 31 March 2026 and 31 December 2025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31 March 2026</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31 December 2025</w:t>
            </w:r>
          </w:p>
        </w:tc>
        <w:tc>
          <w:tcPr>
            <w:tcW w:w="48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denominated in US dollars</w:t>
            </w:r>
          </w:p>
        </w:tc>
        <w:tc>
          <w:tcPr>
            <w:tcW w:w="266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48,309</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161,299</w:t>
            </w:r>
          </w:p>
        </w:tc>
        <w:tc>
          <w:tcPr>
            <w:tcW w:w="480" w:type="dxa"/>
            <w:vAlign w:val="bottom"/>
          </w:tcPr>
          <w:p>
            <w:pPr>
              <w:spacing w:after="0"/>
              <w:rPr>
                <w:sz w:val="18"/>
                <w:szCs w:val="18"/>
                <w:color w:val="auto"/>
              </w:rPr>
            </w:pPr>
          </w:p>
        </w:tc>
      </w:tr>
      <w:tr>
        <w:trPr>
          <w:trHeight w:val="229"/>
        </w:trPr>
        <w:tc>
          <w:tcPr>
            <w:tcW w:w="66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denominated in other currencies</w:t>
            </w:r>
          </w:p>
        </w:tc>
        <w:tc>
          <w:tcPr>
            <w:tcW w:w="4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15,523</w:t>
            </w:r>
          </w:p>
        </w:tc>
        <w:tc>
          <w:tcPr>
            <w:tcW w:w="100" w:type="dxa"/>
            <w:vAlign w:val="bottom"/>
          </w:tcPr>
          <w:p>
            <w:pPr>
              <w:spacing w:after="0"/>
              <w:rPr>
                <w:sz w:val="19"/>
                <w:szCs w:val="19"/>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11,060</w:t>
            </w:r>
          </w:p>
        </w:tc>
        <w:tc>
          <w:tcPr>
            <w:tcW w:w="48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spacing w:after="0"/>
              <w:rPr>
                <w:sz w:val="18"/>
                <w:szCs w:val="18"/>
                <w:color w:val="auto"/>
              </w:rPr>
            </w:pPr>
          </w:p>
        </w:tc>
        <w:tc>
          <w:tcPr>
            <w:tcW w:w="266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63,832</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172,359</w:t>
            </w:r>
          </w:p>
        </w:tc>
        <w:tc>
          <w:tcPr>
            <w:tcW w:w="480" w:type="dxa"/>
            <w:vAlign w:val="bottom"/>
          </w:tcPr>
          <w:p>
            <w:pPr>
              <w:spacing w:after="0"/>
              <w:rPr>
                <w:sz w:val="18"/>
                <w:szCs w:val="18"/>
                <w:color w:val="auto"/>
              </w:rPr>
            </w:pPr>
          </w:p>
        </w:tc>
      </w:tr>
      <w:tr>
        <w:trPr>
          <w:trHeight w:val="568"/>
        </w:trPr>
        <w:tc>
          <w:tcPr>
            <w:tcW w:w="6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8"/>
                <w:szCs w:val="18"/>
                <w:color w:val="auto"/>
              </w:rPr>
              <w:t>F-16</w:t>
            </w:r>
          </w:p>
        </w:tc>
        <w:tc>
          <w:tcPr>
            <w:tcW w:w="14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5" w:name="page26"/>
    <w:bookmarkEnd w:id="25"/>
    <w:p>
      <w:pPr>
        <w:ind w:left="652" w:hanging="652"/>
        <w:spacing w:after="0"/>
        <w:tabs>
          <w:tab w:leader="none" w:pos="6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w:t>
      </w:r>
    </w:p>
    <w:p>
      <w:pPr>
        <w:spacing w:after="0" w:line="225"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Group’s inventory balances as of 31 March 2026 and 31 December 2025 are as follows:</w:t>
      </w:r>
    </w:p>
    <w:p>
      <w:pPr>
        <w:spacing w:after="0" w:line="239" w:lineRule="exact"/>
        <w:rPr>
          <w:sz w:val="20"/>
          <w:szCs w:val="20"/>
          <w:color w:val="auto"/>
        </w:rPr>
      </w:pPr>
    </w:p>
    <w:tbl>
      <w:tblPr>
        <w:tblLayout w:type="fixed"/>
        <w:tblInd w:w="652"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31 March 2026</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31 December 2025</w:t>
            </w:r>
          </w:p>
        </w:tc>
      </w:tr>
      <w:tr>
        <w:trPr>
          <w:trHeight w:val="209"/>
        </w:trPr>
        <w:tc>
          <w:tcPr>
            <w:tcW w:w="7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14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100,491</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102,158</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136,278</w:t>
            </w:r>
          </w:p>
        </w:tc>
        <w:tc>
          <w:tcPr>
            <w:tcW w:w="10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124,330</w:t>
            </w: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2,122</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1,383</w:t>
            </w:r>
          </w:p>
        </w:tc>
      </w:tr>
      <w:tr>
        <w:trPr>
          <w:trHeight w:val="229"/>
        </w:trPr>
        <w:tc>
          <w:tcPr>
            <w:tcW w:w="7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Inventory reserves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(10,874)</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(7,817)</w:t>
            </w:r>
          </w:p>
        </w:tc>
      </w:tr>
      <w:tr>
        <w:trPr>
          <w:trHeight w:val="209"/>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Balance</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228,017</w:t>
            </w:r>
          </w:p>
        </w:tc>
        <w:tc>
          <w:tcPr>
            <w:tcW w:w="1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220,054</w:t>
            </w:r>
          </w:p>
        </w:tc>
      </w:tr>
    </w:tbl>
    <w:p>
      <w:pPr>
        <w:spacing w:after="0" w:line="198" w:lineRule="exact"/>
        <w:rPr>
          <w:sz w:val="20"/>
          <w:szCs w:val="20"/>
          <w:color w:val="auto"/>
        </w:rPr>
      </w:pPr>
    </w:p>
    <w:p>
      <w:pPr>
        <w:ind w:left="652" w:right="260"/>
        <w:spacing w:after="0" w:line="282" w:lineRule="auto"/>
        <w:rPr>
          <w:sz w:val="20"/>
          <w:szCs w:val="20"/>
          <w:color w:val="auto"/>
        </w:rPr>
      </w:pPr>
      <w:r>
        <w:rPr>
          <w:rFonts w:ascii="Times New Roman" w:cs="Times New Roman" w:eastAsia="Times New Roman" w:hAnsi="Times New Roman"/>
          <w:sz w:val="18"/>
          <w:szCs w:val="18"/>
          <w:color w:val="auto"/>
        </w:rPr>
        <w:t>The Group recognized $39.6 million and $54.8 million within cost of goods sold during the three months ended 31 March 2026 and 2025, respectively.</w:t>
      </w:r>
    </w:p>
    <w:p>
      <w:pPr>
        <w:spacing w:after="0" w:line="162" w:lineRule="exact"/>
        <w:rPr>
          <w:sz w:val="20"/>
          <w:szCs w:val="20"/>
          <w:color w:val="auto"/>
        </w:rPr>
      </w:pPr>
    </w:p>
    <w:p>
      <w:pPr>
        <w:ind w:left="652" w:hanging="652"/>
        <w:spacing w:after="0"/>
        <w:tabs>
          <w:tab w:leader="none" w:pos="65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current assets</w:t>
      </w:r>
    </w:p>
    <w:p>
      <w:pPr>
        <w:spacing w:after="0" w:line="225"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composition of other current assets as of 31 March 2026 and 31 December 2025 is as follows:</w:t>
      </w:r>
    </w:p>
    <w:p>
      <w:pPr>
        <w:spacing w:after="0" w:line="239" w:lineRule="exact"/>
        <w:rPr>
          <w:sz w:val="20"/>
          <w:szCs w:val="20"/>
          <w:color w:val="auto"/>
        </w:rPr>
      </w:pPr>
    </w:p>
    <w:tbl>
      <w:tblPr>
        <w:tblLayout w:type="fixed"/>
        <w:tblInd w:w="652"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31 March 2026</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31 December 2025</w:t>
            </w:r>
          </w:p>
        </w:tc>
      </w:tr>
      <w:tr>
        <w:trPr>
          <w:trHeight w:val="210"/>
        </w:trPr>
        <w:tc>
          <w:tcPr>
            <w:tcW w:w="7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Value-added tax</w:t>
            </w:r>
          </w:p>
        </w:tc>
        <w:tc>
          <w:tcPr>
            <w:tcW w:w="14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22,940</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17,924</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31,078</w:t>
            </w:r>
          </w:p>
        </w:tc>
        <w:tc>
          <w:tcPr>
            <w:tcW w:w="10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27,816</w:t>
            </w:r>
          </w:p>
        </w:tc>
      </w:tr>
      <w:tr>
        <w:trPr>
          <w:trHeight w:val="229"/>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short-term receivables</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3,243</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1,244</w:t>
            </w:r>
          </w:p>
        </w:tc>
      </w:tr>
      <w:tr>
        <w:trPr>
          <w:trHeight w:val="210"/>
        </w:trPr>
        <w:tc>
          <w:tcPr>
            <w:tcW w:w="7180" w:type="dxa"/>
            <w:vAlign w:val="bottom"/>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57,261</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46,984</w:t>
            </w:r>
          </w:p>
        </w:tc>
      </w:tr>
    </w:tbl>
    <w:p>
      <w:pPr>
        <w:spacing w:after="0" w:line="198" w:lineRule="exact"/>
        <w:rPr>
          <w:sz w:val="20"/>
          <w:szCs w:val="20"/>
          <w:color w:val="auto"/>
        </w:rPr>
      </w:pPr>
    </w:p>
    <w:p>
      <w:pPr>
        <w:ind w:left="652" w:hanging="652"/>
        <w:spacing w:after="0"/>
        <w:tabs>
          <w:tab w:leader="none" w:pos="65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capital</w:t>
      </w:r>
    </w:p>
    <w:p>
      <w:pPr>
        <w:spacing w:after="0" w:line="225" w:lineRule="exact"/>
        <w:rPr>
          <w:rFonts w:ascii="Times New Roman" w:cs="Times New Roman" w:eastAsia="Times New Roman" w:hAnsi="Times New Roman"/>
          <w:sz w:val="18"/>
          <w:szCs w:val="18"/>
          <w:color w:val="auto"/>
        </w:rPr>
      </w:pPr>
    </w:p>
    <w:p>
      <w:pPr>
        <w:ind w:left="65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Movements in the Group’s Ordinary shares, share capital and share premium during the three months ended 31 March 2026 are as follows (in thousands, except for share amounts):</w:t>
      </w:r>
    </w:p>
    <w:p>
      <w:pPr>
        <w:spacing w:after="0" w:line="162" w:lineRule="exact"/>
        <w:rPr>
          <w:sz w:val="20"/>
          <w:szCs w:val="20"/>
          <w:color w:val="auto"/>
        </w:rPr>
      </w:pPr>
    </w:p>
    <w:tbl>
      <w:tblPr>
        <w:tblLayout w:type="fixed"/>
        <w:tblInd w:w="652"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Ordinary</w:t>
            </w:r>
          </w:p>
        </w:tc>
        <w:tc>
          <w:tcPr>
            <w:tcW w:w="1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Share</w:t>
            </w:r>
          </w:p>
        </w:tc>
        <w:tc>
          <w:tcPr>
            <w:tcW w:w="12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Share</w:t>
            </w:r>
          </w:p>
        </w:tc>
        <w:tc>
          <w:tcPr>
            <w:tcW w:w="1200" w:type="dxa"/>
            <w:vAlign w:val="bottom"/>
          </w:tcPr>
          <w:p>
            <w:pPr>
              <w:spacing w:after="0"/>
              <w:rPr>
                <w:sz w:val="18"/>
                <w:szCs w:val="18"/>
                <w:color w:val="auto"/>
              </w:rPr>
            </w:pPr>
          </w:p>
        </w:tc>
      </w:tr>
      <w:tr>
        <w:trPr>
          <w:trHeight w:val="234"/>
        </w:trPr>
        <w:tc>
          <w:tcPr>
            <w:tcW w:w="496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Shares</w:t>
            </w:r>
          </w:p>
        </w:tc>
        <w:tc>
          <w:tcPr>
            <w:tcW w:w="1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capital</w:t>
            </w:r>
          </w:p>
        </w:tc>
        <w:tc>
          <w:tcPr>
            <w:tcW w:w="1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premium</w:t>
            </w: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1 January 2026</w:t>
            </w:r>
          </w:p>
        </w:tc>
        <w:tc>
          <w:tcPr>
            <w:tcW w:w="1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312,021,375</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2,929</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2,105,691</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2,108,620</w:t>
            </w:r>
          </w:p>
        </w:tc>
      </w:tr>
      <w:tr>
        <w:trPr>
          <w:trHeight w:val="229"/>
        </w:trPr>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Settlement of RSUs with shares</w:t>
            </w: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131,789</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1,228</w:t>
            </w:r>
          </w:p>
        </w:tc>
        <w:tc>
          <w:tcPr>
            <w:tcW w:w="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1,229</w:t>
            </w:r>
          </w:p>
        </w:tc>
      </w:tr>
      <w:tr>
        <w:trPr>
          <w:trHeight w:val="21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31 March 2026</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312,153,164</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2,106,919</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2,109,849</w:t>
            </w:r>
          </w:p>
        </w:tc>
      </w:tr>
    </w:tbl>
    <w:p>
      <w:pPr>
        <w:spacing w:after="0" w:line="198"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No dividends were paid or declared during the three months ended 31 March 2026 and 2025.</w:t>
      </w:r>
    </w:p>
    <w:p>
      <w:pPr>
        <w:spacing w:after="0" w:line="333" w:lineRule="exact"/>
        <w:rPr>
          <w:sz w:val="20"/>
          <w:szCs w:val="20"/>
          <w:color w:val="auto"/>
        </w:rPr>
      </w:pPr>
    </w:p>
    <w:p>
      <w:pPr>
        <w:jc w:val="center"/>
        <w:ind w:right="-391"/>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52"/>
          </w:cols>
          <w:pgMar w:left="328" w:top="796" w:right="719" w:bottom="1440" w:gutter="0" w:footer="0" w:header="0"/>
        </w:sectPr>
      </w:pPr>
    </w:p>
    <w:bookmarkStart w:id="26" w:name="page27"/>
    <w:bookmarkEnd w:id="26"/>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w:t>
      </w:r>
    </w:p>
    <w:p>
      <w:pPr>
        <w:spacing w:after="0" w:line="225" w:lineRule="exact"/>
        <w:rPr>
          <w:rFonts w:ascii="Times New Roman" w:cs="Times New Roman" w:eastAsia="Times New Roman" w:hAnsi="Times New Roman"/>
          <w:sz w:val="18"/>
          <w:szCs w:val="18"/>
          <w:color w:val="auto"/>
        </w:rPr>
      </w:pPr>
    </w:p>
    <w:p>
      <w:pPr>
        <w:ind w:left="660" w:right="18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Group’s debt consists of interest-bearing borrowings from financial institutions and third parties. Outstanding borrowings, net of transaction costs and debt discounts, presented on the consolidated statements of financial position as current and non-current as of 31 March 2026 and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December 2025 are as follows:</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31 March 2026</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31 December 2025</w:t>
            </w:r>
          </w:p>
        </w:tc>
      </w:tr>
      <w:tr>
        <w:trPr>
          <w:trHeight w:val="210"/>
        </w:trPr>
        <w:tc>
          <w:tcPr>
            <w:tcW w:w="7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First Lien Term Loan Facility</w:t>
            </w:r>
          </w:p>
        </w:tc>
        <w:tc>
          <w:tcPr>
            <w:tcW w:w="14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1,031,822</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1,031,565</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2025 Convertible Bonds</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69,938</w:t>
            </w:r>
          </w:p>
        </w:tc>
        <w:tc>
          <w:tcPr>
            <w:tcW w:w="10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68,367</w:t>
            </w: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Term Loan Facility</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97,117</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96,719</w:t>
            </w:r>
          </w:p>
        </w:tc>
      </w:tr>
      <w:tr>
        <w:trPr>
          <w:trHeight w:val="229"/>
        </w:trPr>
        <w:tc>
          <w:tcPr>
            <w:tcW w:w="7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borrowings</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110,754</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102,417</w:t>
            </w:r>
          </w:p>
        </w:tc>
      </w:tr>
      <w:tr>
        <w:trPr>
          <w:trHeight w:val="21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outstanding borrowings, net of debt issue costs</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1,309,631</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1,299,068</w:t>
            </w:r>
          </w:p>
        </w:tc>
      </w:tr>
      <w:tr>
        <w:trPr>
          <w:trHeight w:val="229"/>
        </w:trPr>
        <w:tc>
          <w:tcPr>
            <w:tcW w:w="7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portion of borrowings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(42,514)</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(36,921)</w:t>
            </w:r>
          </w:p>
        </w:tc>
      </w:tr>
      <w:tr>
        <w:trPr>
          <w:trHeight w:val="21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borrowings</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1,267,117</w:t>
            </w:r>
          </w:p>
        </w:tc>
        <w:tc>
          <w:tcPr>
            <w:tcW w:w="1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1,262,147</w:t>
            </w:r>
          </w:p>
        </w:tc>
      </w:tr>
    </w:tbl>
    <w:p>
      <w:pPr>
        <w:spacing w:after="0" w:line="198" w:lineRule="exact"/>
        <w:rPr>
          <w:sz w:val="20"/>
          <w:szCs w:val="20"/>
          <w:color w:val="auto"/>
        </w:rPr>
      </w:pPr>
    </w:p>
    <w:p>
      <w:pPr>
        <w:ind w:left="660" w:right="200"/>
        <w:spacing w:after="0" w:line="261" w:lineRule="auto"/>
        <w:rPr>
          <w:sz w:val="20"/>
          <w:szCs w:val="20"/>
          <w:color w:val="auto"/>
        </w:rPr>
      </w:pPr>
      <w:r>
        <w:rPr>
          <w:rFonts w:ascii="Times New Roman" w:cs="Times New Roman" w:eastAsia="Times New Roman" w:hAnsi="Times New Roman"/>
          <w:sz w:val="18"/>
          <w:szCs w:val="18"/>
          <w:color w:val="auto"/>
        </w:rPr>
        <w:t>On 12 February 2026, the Group entered into a premium finance agreement with AFCO Premium Credit LLC for an amount of $1.6 million, in connection with the financing of insurance premiums. Per the terms of the agreement, this includes monthly installment payments with final maturity in December 2026. The agreement bears a fixed interest rate of 6.424%. As of 31 March 2026, the outstanding balance on the loan was $1.4 million.</w:t>
      </w:r>
    </w:p>
    <w:p>
      <w:pPr>
        <w:spacing w:after="0" w:line="180" w:lineRule="exact"/>
        <w:rPr>
          <w:sz w:val="20"/>
          <w:szCs w:val="20"/>
          <w:color w:val="auto"/>
        </w:rPr>
      </w:pPr>
    </w:p>
    <w:p>
      <w:pPr>
        <w:ind w:left="660" w:right="180"/>
        <w:spacing w:after="0" w:line="276" w:lineRule="auto"/>
        <w:rPr>
          <w:sz w:val="20"/>
          <w:szCs w:val="20"/>
          <w:color w:val="auto"/>
        </w:rPr>
      </w:pPr>
      <w:r>
        <w:rPr>
          <w:rFonts w:ascii="Times New Roman" w:cs="Times New Roman" w:eastAsia="Times New Roman" w:hAnsi="Times New Roman"/>
          <w:sz w:val="17"/>
          <w:szCs w:val="17"/>
          <w:color w:val="auto"/>
        </w:rPr>
        <w:t>In March 2026, the Group increased the loans related to the asset acquisition for the manufacturing facility in Reykjavik by $8.0 million through an additional borrowing with Landsbankinn hf., under substantially similar terms, including a variable interest rate of SOFR plus a margin of</w:t>
      </w:r>
    </w:p>
    <w:p>
      <w:pPr>
        <w:spacing w:after="0" w:line="1" w:lineRule="exact"/>
        <w:rPr>
          <w:sz w:val="20"/>
          <w:szCs w:val="20"/>
          <w:color w:val="auto"/>
        </w:rPr>
      </w:pPr>
    </w:p>
    <w:p>
      <w:pPr>
        <w:ind w:left="660" w:right="120"/>
        <w:spacing w:after="0" w:line="260" w:lineRule="auto"/>
        <w:rPr>
          <w:sz w:val="20"/>
          <w:szCs w:val="20"/>
          <w:color w:val="auto"/>
        </w:rPr>
      </w:pPr>
      <w:r>
        <w:rPr>
          <w:rFonts w:ascii="Times New Roman" w:cs="Times New Roman" w:eastAsia="Times New Roman" w:hAnsi="Times New Roman"/>
          <w:sz w:val="18"/>
          <w:szCs w:val="18"/>
          <w:color w:val="auto"/>
        </w:rPr>
        <w:t>4.05% and a maturity aligned with the existing facility in February 2030. The incremental borrowing is secured on the same collateral package as the existing Facility loans. As of 31 March 2026, the carrying amount of this incremental facility is $8 million.</w:t>
      </w:r>
    </w:p>
    <w:p>
      <w:pPr>
        <w:spacing w:after="0" w:line="181" w:lineRule="exact"/>
        <w:rPr>
          <w:sz w:val="20"/>
          <w:szCs w:val="20"/>
          <w:color w:val="auto"/>
        </w:rPr>
      </w:pPr>
    </w:p>
    <w:p>
      <w:pPr>
        <w:ind w:left="660" w:right="140"/>
        <w:spacing w:after="0" w:line="282" w:lineRule="auto"/>
        <w:rPr>
          <w:sz w:val="20"/>
          <w:szCs w:val="20"/>
          <w:color w:val="auto"/>
        </w:rPr>
      </w:pPr>
      <w:r>
        <w:rPr>
          <w:rFonts w:ascii="Times New Roman" w:cs="Times New Roman" w:eastAsia="Times New Roman" w:hAnsi="Times New Roman"/>
          <w:sz w:val="18"/>
          <w:szCs w:val="18"/>
          <w:color w:val="auto"/>
        </w:rPr>
        <w:t>The weighted-average interest rates of outstanding borrowings for the three months ended 31 March 2026 and the year ended 31 December 2025 are 9.42% and 9.58%,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Movements in the Group’s outstanding borrowings during the three months ended 31 March 2026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598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net at 1 January</w:t>
            </w:r>
          </w:p>
        </w:tc>
        <w:tc>
          <w:tcPr>
            <w:tcW w:w="456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1,299,068</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Accretion/derecognition of borrowings discount</w:t>
            </w:r>
          </w:p>
        </w:tc>
        <w:tc>
          <w:tcPr>
            <w:tcW w:w="59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1,405</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new borrowings</w:t>
            </w:r>
          </w:p>
        </w:tc>
        <w:tc>
          <w:tcPr>
            <w:tcW w:w="59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15,078</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Repayments of borrowings</w:t>
            </w:r>
          </w:p>
        </w:tc>
        <w:tc>
          <w:tcPr>
            <w:tcW w:w="5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(9,046)</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5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deferred debt issue costs</w:t>
            </w:r>
          </w:p>
        </w:tc>
        <w:tc>
          <w:tcPr>
            <w:tcW w:w="59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3,498</w:t>
            </w:r>
          </w:p>
        </w:tc>
        <w:tc>
          <w:tcPr>
            <w:tcW w:w="480" w:type="dxa"/>
            <w:vAlign w:val="bottom"/>
          </w:tcPr>
          <w:p>
            <w:pPr>
              <w:spacing w:after="0"/>
              <w:rPr>
                <w:sz w:val="18"/>
                <w:szCs w:val="18"/>
                <w:color w:val="auto"/>
              </w:rPr>
            </w:pPr>
          </w:p>
        </w:tc>
      </w:tr>
      <w:tr>
        <w:trPr>
          <w:trHeight w:val="229"/>
        </w:trPr>
        <w:tc>
          <w:tcPr>
            <w:tcW w:w="660" w:type="dxa"/>
            <w:vAlign w:val="bottom"/>
          </w:tcPr>
          <w:p>
            <w:pPr>
              <w:spacing w:after="0"/>
              <w:rPr>
                <w:sz w:val="19"/>
                <w:szCs w:val="19"/>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exchange difference</w:t>
            </w:r>
          </w:p>
        </w:tc>
        <w:tc>
          <w:tcPr>
            <w:tcW w:w="5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48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Borrowings, net at 31 March</w:t>
            </w:r>
          </w:p>
        </w:tc>
        <w:tc>
          <w:tcPr>
            <w:tcW w:w="456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1,309,631</w:t>
            </w:r>
          </w:p>
        </w:tc>
        <w:tc>
          <w:tcPr>
            <w:tcW w:w="480" w:type="dxa"/>
            <w:vAlign w:val="bottom"/>
          </w:tcPr>
          <w:p>
            <w:pPr>
              <w:spacing w:after="0"/>
              <w:rPr>
                <w:sz w:val="18"/>
                <w:szCs w:val="18"/>
                <w:color w:val="auto"/>
              </w:rPr>
            </w:pPr>
          </w:p>
        </w:tc>
      </w:tr>
      <w:tr>
        <w:trPr>
          <w:trHeight w:val="568"/>
        </w:trPr>
        <w:tc>
          <w:tcPr>
            <w:tcW w:w="66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gridSpan w:val="2"/>
          </w:tcPr>
          <w:p>
            <w:pPr>
              <w:jc w:val="right"/>
              <w:ind w:right="4870"/>
              <w:spacing w:after="0"/>
              <w:rPr>
                <w:sz w:val="20"/>
                <w:szCs w:val="20"/>
                <w:color w:val="auto"/>
              </w:rPr>
            </w:pPr>
            <w:r>
              <w:rPr>
                <w:rFonts w:ascii="Times New Roman" w:cs="Times New Roman" w:eastAsia="Times New Roman" w:hAnsi="Times New Roman"/>
                <w:sz w:val="18"/>
                <w:szCs w:val="18"/>
                <w:color w:val="auto"/>
              </w:rPr>
              <w:t>F-18</w:t>
            </w:r>
          </w:p>
        </w:tc>
        <w:tc>
          <w:tcPr>
            <w:tcW w:w="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7" w:name="page28"/>
    <w:bookmarkEnd w:id="27"/>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Contractual maturities of principal amounts on the Group’s outstanding borrowings as of 31 March 2026 are as follows:</w:t>
            </w:r>
          </w:p>
        </w:tc>
        <w:tc>
          <w:tcPr>
            <w:tcW w:w="1420" w:type="dxa"/>
            <w:vAlign w:val="bottom"/>
          </w:tcPr>
          <w:p>
            <w:pPr>
              <w:spacing w:after="0"/>
              <w:rPr>
                <w:sz w:val="20"/>
                <w:szCs w:val="20"/>
                <w:color w:val="auto"/>
              </w:rPr>
            </w:pPr>
          </w:p>
        </w:tc>
      </w:tr>
      <w:tr>
        <w:trPr>
          <w:trHeight w:val="445"/>
        </w:trPr>
        <w:tc>
          <w:tcPr>
            <w:tcW w:w="8680" w:type="dxa"/>
            <w:vAlign w:val="bottom"/>
            <w:tcBorders>
              <w:bottom w:val="single" w:sz="8" w:color="CCEEFF"/>
            </w:tcBorders>
          </w:tcPr>
          <w:p>
            <w:pPr>
              <w:spacing w:after="0"/>
              <w:rPr>
                <w:sz w:val="24"/>
                <w:szCs w:val="24"/>
                <w:color w:val="auto"/>
              </w:rPr>
            </w:pPr>
          </w:p>
        </w:tc>
        <w:tc>
          <w:tcPr>
            <w:tcW w:w="14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31 March 2026</w:t>
            </w: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one year</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42,514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Within two years</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123,593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three years</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23,726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Within four years</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1,082,932</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116,982</w:t>
            </w:r>
          </w:p>
        </w:tc>
      </w:tr>
      <w:tr>
        <w:trPr>
          <w:trHeight w:val="209"/>
        </w:trPr>
        <w:tc>
          <w:tcPr>
            <w:tcW w:w="8680" w:type="dxa"/>
            <w:vAlign w:val="bottom"/>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1,389,747</w:t>
            </w:r>
          </w:p>
        </w:tc>
      </w:tr>
    </w:tbl>
    <w:p>
      <w:pPr>
        <w:spacing w:after="0" w:line="198"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payments</w:t>
      </w:r>
    </w:p>
    <w:p>
      <w:pPr>
        <w:spacing w:after="0" w:line="225" w:lineRule="exact"/>
        <w:rPr>
          <w:rFonts w:ascii="Times New Roman" w:cs="Times New Roman" w:eastAsia="Times New Roman" w:hAnsi="Times New Roman"/>
          <w:sz w:val="18"/>
          <w:szCs w:val="18"/>
          <w:color w:val="auto"/>
        </w:rPr>
      </w:pPr>
    </w:p>
    <w:p>
      <w:pPr>
        <w:ind w:left="660" w:right="1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1 December 2022, the Remuneration Committee approved and the Group granted RSUs to employees, executives, and directors. These RSUs entitle recipients to receive Ordinary Shares upon satisfying the applicable vesting conditions. The compensation expense for RSUs is based on the market price of the Ordinary Shares on the grant date and is expensed over the vesting period, which generally spans 1 to 4 years. Vesting generally includes a 1 year cliff, after which shares vest either monthly or annually, contingent upon the participant fulfilling a required service period. Movements in RSUs during the three months ended 31 March 2026 are as follows:</w:t>
      </w:r>
    </w:p>
    <w:p>
      <w:pPr>
        <w:spacing w:after="0" w:line="19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p>
        </w:tc>
        <w:tc>
          <w:tcPr>
            <w:tcW w:w="17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2026</w:t>
            </w:r>
          </w:p>
        </w:tc>
        <w:tc>
          <w:tcPr>
            <w:tcW w:w="1180" w:type="dxa"/>
            <w:vAlign w:val="bottom"/>
            <w:tcBorders>
              <w:bottom w:val="single" w:sz="8" w:color="auto"/>
            </w:tcBorders>
          </w:tcPr>
          <w:p>
            <w:pPr>
              <w:spacing w:after="0"/>
              <w:rPr>
                <w:sz w:val="20"/>
                <w:szCs w:val="20"/>
                <w:color w:val="auto"/>
              </w:rPr>
            </w:pPr>
          </w:p>
        </w:tc>
      </w:tr>
      <w:tr>
        <w:trPr>
          <w:trHeight w:val="191"/>
        </w:trPr>
        <w:tc>
          <w:tcPr>
            <w:tcW w:w="7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ind w:right="170"/>
              <w:spacing w:after="0" w:line="191" w:lineRule="exact"/>
              <w:rPr>
                <w:sz w:val="20"/>
                <w:szCs w:val="20"/>
                <w:color w:val="auto"/>
              </w:rPr>
            </w:pPr>
            <w:r>
              <w:rPr>
                <w:rFonts w:ascii="Times New Roman" w:cs="Times New Roman" w:eastAsia="Times New Roman" w:hAnsi="Times New Roman"/>
                <w:sz w:val="18"/>
                <w:szCs w:val="18"/>
                <w:color w:val="auto"/>
                <w:w w:val="97"/>
              </w:rPr>
              <w:t>Weighted</w:t>
            </w:r>
          </w:p>
        </w:tc>
      </w:tr>
      <w:tr>
        <w:trPr>
          <w:trHeight w:val="216"/>
        </w:trPr>
        <w:tc>
          <w:tcPr>
            <w:tcW w:w="7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Average</w:t>
            </w:r>
          </w:p>
        </w:tc>
      </w:tr>
      <w:tr>
        <w:trPr>
          <w:trHeight w:val="234"/>
        </w:trPr>
        <w:tc>
          <w:tcPr>
            <w:tcW w:w="718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RSUs</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Fair Value</w:t>
            </w:r>
          </w:p>
        </w:tc>
      </w:tr>
      <w:tr>
        <w:trPr>
          <w:trHeight w:val="209"/>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1 January</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1,756,072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8.65</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New grants during the period</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1,637,555</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4.58</w:t>
            </w: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 during the period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(219,500)</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9.64</w:t>
            </w:r>
          </w:p>
        </w:tc>
      </w:tr>
      <w:tr>
        <w:trPr>
          <w:trHeight w:val="229"/>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Vested during the period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(550,420)</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6.47</w:t>
            </w:r>
          </w:p>
        </w:tc>
      </w:tr>
      <w:tr>
        <w:trPr>
          <w:trHeight w:val="210"/>
        </w:trPr>
        <w:tc>
          <w:tcPr>
            <w:tcW w:w="7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31 March</w:t>
            </w:r>
          </w:p>
        </w:tc>
        <w:tc>
          <w:tcPr>
            <w:tcW w:w="14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2,623,707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6.49</w:t>
            </w:r>
          </w:p>
        </w:tc>
      </w:tr>
    </w:tbl>
    <w:p>
      <w:pPr>
        <w:spacing w:after="0" w:line="198" w:lineRule="exact"/>
        <w:rPr>
          <w:sz w:val="20"/>
          <w:szCs w:val="20"/>
          <w:color w:val="auto"/>
        </w:rPr>
      </w:pPr>
    </w:p>
    <w:p>
      <w:pPr>
        <w:ind w:left="660" w:right="300"/>
        <w:spacing w:after="0" w:line="282" w:lineRule="auto"/>
        <w:rPr>
          <w:sz w:val="20"/>
          <w:szCs w:val="20"/>
          <w:color w:val="auto"/>
        </w:rPr>
      </w:pPr>
      <w:r>
        <w:rPr>
          <w:rFonts w:ascii="Times New Roman" w:cs="Times New Roman" w:eastAsia="Times New Roman" w:hAnsi="Times New Roman"/>
          <w:sz w:val="18"/>
          <w:szCs w:val="18"/>
          <w:color w:val="auto"/>
        </w:rPr>
        <w:t>The Group recognized $2.3 million and $1.3 million of share-based payment expense during the three months ended 31 March 2026 and 2025, respectively,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488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Pr>
          <w:p>
            <w:pPr>
              <w:spacing w:after="0"/>
              <w:rPr>
                <w:sz w:val="20"/>
                <w:szCs w:val="20"/>
                <w:color w:val="auto"/>
              </w:rPr>
            </w:pPr>
          </w:p>
        </w:tc>
      </w:tr>
      <w:tr>
        <w:trPr>
          <w:trHeight w:val="209"/>
        </w:trPr>
        <w:tc>
          <w:tcPr>
            <w:tcW w:w="660" w:type="dxa"/>
            <w:vAlign w:val="bottom"/>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346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542</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48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257</w:t>
            </w:r>
          </w:p>
        </w:tc>
        <w:tc>
          <w:tcPr>
            <w:tcW w:w="48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8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509</w:t>
            </w:r>
          </w:p>
        </w:tc>
        <w:tc>
          <w:tcPr>
            <w:tcW w:w="480" w:type="dxa"/>
            <w:vAlign w:val="bottom"/>
          </w:tcPr>
          <w:p>
            <w:pPr>
              <w:spacing w:after="0"/>
              <w:rPr>
                <w:sz w:val="19"/>
                <w:szCs w:val="19"/>
                <w:color w:val="auto"/>
              </w:rPr>
            </w:pPr>
          </w:p>
        </w:tc>
      </w:tr>
      <w:tr>
        <w:trPr>
          <w:trHeight w:val="209"/>
        </w:trPr>
        <w:tc>
          <w:tcPr>
            <w:tcW w:w="6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1,308</w:t>
            </w:r>
          </w:p>
        </w:tc>
        <w:tc>
          <w:tcPr>
            <w:tcW w:w="480" w:type="dxa"/>
            <w:vAlign w:val="bottom"/>
          </w:tcPr>
          <w:p>
            <w:pPr>
              <w:spacing w:after="0"/>
              <w:rPr>
                <w:sz w:val="18"/>
                <w:szCs w:val="18"/>
                <w:color w:val="auto"/>
              </w:rPr>
            </w:pPr>
          </w:p>
        </w:tc>
      </w:tr>
      <w:tr>
        <w:trPr>
          <w:trHeight w:val="568"/>
        </w:trPr>
        <w:tc>
          <w:tcPr>
            <w:tcW w:w="6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8"/>
                <w:szCs w:val="18"/>
                <w:color w:val="auto"/>
              </w:rPr>
              <w:t>F-19</w:t>
            </w:r>
          </w:p>
        </w:tc>
        <w:tc>
          <w:tcPr>
            <w:tcW w:w="14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8" w:name="page29"/>
    <w:bookmarkEnd w:id="28"/>
    <w:p>
      <w:pPr>
        <w:ind w:left="652" w:hanging="652"/>
        <w:spacing w:after="0"/>
        <w:tabs>
          <w:tab w:leader="none" w:pos="6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parties</w:t>
      </w:r>
    </w:p>
    <w:p>
      <w:pPr>
        <w:spacing w:after="0" w:line="225"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party transactions as of 31 March 2026 are as follows:</w:t>
      </w:r>
    </w:p>
    <w:p>
      <w:pPr>
        <w:spacing w:after="0" w:line="225" w:lineRule="exact"/>
        <w:rPr>
          <w:sz w:val="20"/>
          <w:szCs w:val="20"/>
          <w:color w:val="auto"/>
        </w:rPr>
      </w:pPr>
    </w:p>
    <w:tbl>
      <w:tblPr>
        <w:tblLayout w:type="fixed"/>
        <w:tblInd w:w="652"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Purchases /</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Payables/</w:t>
            </w:r>
          </w:p>
        </w:tc>
      </w:tr>
      <w:tr>
        <w:trPr>
          <w:trHeight w:val="234"/>
        </w:trPr>
        <w:tc>
          <w:tcPr>
            <w:tcW w:w="496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interest</w:t>
            </w: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Sold service</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Receivables</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borrowings</w:t>
            </w:r>
          </w:p>
        </w:tc>
      </w:tr>
      <w:tr>
        <w:trPr>
          <w:trHeight w:val="209"/>
        </w:trPr>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Alvogen Lux Holdings S.à r.l. – Sister company (a)</w:t>
            </w:r>
          </w:p>
        </w:tc>
        <w:tc>
          <w:tcPr>
            <w:tcW w:w="1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1,472</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Aztiq Consulting ehf. – Sister company</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Flóki-Art ehf. - Sister company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414</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Alvogen UK - Sister company</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Alvogen Finance B.V. - Sister Company</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Alvogen Inc.</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656</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Klettagarðar 6 ehf. - Sister company (b)</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4,306</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2,941</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Flóki Invest ehf - Sister company</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Alvogen Spain SL</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Norwich Clinical Services Ltd</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Hlíðarvegur 20 ehf.</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Fasteignafélagið Eyjólfur ehf - Sister company</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2,869</w:t>
            </w:r>
          </w:p>
        </w:tc>
        <w:tc>
          <w:tcPr>
            <w:tcW w:w="1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96,479</w:t>
            </w:r>
          </w:p>
        </w:tc>
      </w:tr>
      <w:tr>
        <w:trPr>
          <w:trHeight w:val="23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Flóki fasteignir ehf. - Sister company</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13,552</w:t>
            </w:r>
          </w:p>
        </w:tc>
      </w:tr>
      <w:tr>
        <w:trPr>
          <w:trHeight w:val="209"/>
        </w:trPr>
        <w:tc>
          <w:tcPr>
            <w:tcW w:w="496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6,879</w:t>
            </w:r>
          </w:p>
        </w:tc>
        <w:tc>
          <w:tcPr>
            <w:tcW w:w="10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4,311</w:t>
            </w:r>
          </w:p>
        </w:tc>
        <w:tc>
          <w:tcPr>
            <w:tcW w:w="8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115,760</w:t>
            </w:r>
          </w:p>
        </w:tc>
      </w:tr>
    </w:tbl>
    <w:p>
      <w:pPr>
        <w:spacing w:after="0" w:line="196" w:lineRule="exact"/>
        <w:rPr>
          <w:sz w:val="20"/>
          <w:szCs w:val="20"/>
          <w:color w:val="auto"/>
        </w:rPr>
      </w:pPr>
    </w:p>
    <w:p>
      <w:pPr>
        <w:ind w:left="1292" w:hanging="644"/>
        <w:spacing w:after="0"/>
        <w:tabs>
          <w:tab w:leader="none" w:pos="1292"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full amount of purchased service relates to royalty expenses.</w:t>
      </w:r>
    </w:p>
    <w:p>
      <w:pPr>
        <w:spacing w:after="0" w:line="29" w:lineRule="exact"/>
        <w:rPr>
          <w:rFonts w:ascii="Times New Roman" w:cs="Times New Roman" w:eastAsia="Times New Roman" w:hAnsi="Times New Roman"/>
          <w:sz w:val="18"/>
          <w:szCs w:val="18"/>
          <w:i w:val="1"/>
          <w:iCs w:val="1"/>
          <w:color w:val="auto"/>
        </w:rPr>
      </w:pPr>
    </w:p>
    <w:p>
      <w:pPr>
        <w:ind w:left="1292" w:hanging="644"/>
        <w:spacing w:after="0" w:line="260" w:lineRule="auto"/>
        <w:tabs>
          <w:tab w:leader="none" w:pos="1292"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receivable is classified within Other long-term assets in the Unaudited Condensed Consolidated Interim Statement of Financial Position</w:t>
      </w:r>
    </w:p>
    <w:p>
      <w:pPr>
        <w:spacing w:after="0" w:line="200" w:lineRule="exact"/>
        <w:rPr>
          <w:sz w:val="20"/>
          <w:szCs w:val="20"/>
          <w:color w:val="auto"/>
        </w:rPr>
      </w:pPr>
    </w:p>
    <w:p>
      <w:pPr>
        <w:spacing w:after="0" w:line="305" w:lineRule="exact"/>
        <w:rPr>
          <w:sz w:val="20"/>
          <w:szCs w:val="20"/>
          <w:color w:val="auto"/>
        </w:rPr>
      </w:pPr>
    </w:p>
    <w:p>
      <w:pPr>
        <w:jc w:val="center"/>
        <w:ind w:right="-451"/>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792"/>
          </w:cols>
          <w:pgMar w:left="328" w:top="796" w:right="7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Related party transactions for the three months ended 31 March 2025 and as of 31 December 2025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280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31 March 2025</w:t>
            </w:r>
          </w:p>
        </w:tc>
        <w:tc>
          <w:tcPr>
            <w:tcW w:w="248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31 December 2025</w:t>
            </w:r>
          </w:p>
        </w:tc>
      </w:tr>
      <w:tr>
        <w:trPr>
          <w:trHeight w:val="216"/>
        </w:trPr>
        <w:tc>
          <w:tcPr>
            <w:tcW w:w="482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Purchased service /</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Payables/</w:t>
            </w:r>
          </w:p>
        </w:tc>
      </w:tr>
      <w:tr>
        <w:trPr>
          <w:trHeight w:val="234"/>
        </w:trPr>
        <w:tc>
          <w:tcPr>
            <w:tcW w:w="4820" w:type="dxa"/>
            <w:vAlign w:val="bottom"/>
          </w:tcPr>
          <w:p>
            <w:pPr>
              <w:spacing w:after="0"/>
              <w:rPr>
                <w:sz w:val="20"/>
                <w:szCs w:val="20"/>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interest</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Sold service</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Receivables</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borrowings</w:t>
            </w:r>
          </w:p>
        </w:tc>
      </w:tr>
      <w:tr>
        <w:trPr>
          <w:trHeight w:val="209"/>
        </w:trPr>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Alvogen Lux Holdings S.à r.l. – Sister company</w:t>
            </w:r>
          </w:p>
        </w:tc>
        <w:tc>
          <w:tcPr>
            <w:tcW w:w="14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3,108</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ATP Holdings ehf. - Sister company</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Aztiq Consulting ehf. – Sister company</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Flóki-Art ehf. - Sister company</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430</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Alvogen Iceland ehf. - Sister company</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Alvogen ehf. - Sister company</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Alvogen UK - Sister company</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Alvogen Finance B.V. - Sister Company</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Alvogen Inc. - Sister company</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656</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Adalvo Limited - Sister company</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Klettagarðar 6 ehf. - Sister company</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4,037</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2,923</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L41 ehf. - Sister company</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Flóki Invest ehf - Sister company</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Alvogen Spain SL - Sister company</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Norwich Clinical Services Ltd - Sister company</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605</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Hliðarvegur 20 ehf.</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Fasteignafélagið Eyjólfur ehf - Sister company</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96,304</w:t>
            </w:r>
          </w:p>
        </w:tc>
      </w:tr>
      <w:tr>
        <w:trPr>
          <w:trHeight w:val="22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Flóki fasteignir ehf. - Sister company</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15,838</w:t>
            </w:r>
          </w:p>
        </w:tc>
      </w:tr>
      <w:tr>
        <w:trPr>
          <w:trHeight w:val="210"/>
        </w:trPr>
        <w:tc>
          <w:tcPr>
            <w:tcW w:w="48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7,434</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4,042</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117,207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00"/>
          </w:cols>
          <w:pgMar w:left="980" w:top="796" w:right="819" w:bottom="1440" w:gutter="0" w:footer="0" w:header="0"/>
        </w:sectPr>
      </w:pPr>
    </w:p>
    <w:bookmarkStart w:id="30" w:name="page31"/>
    <w:bookmarkEnd w:id="30"/>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current liabilities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composition of other current liabilities as of 31 March 2026 and 31 December 2025 is as follows:</w:t>
      </w: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31 March 2026</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31 December 2025</w:t>
            </w:r>
          </w:p>
        </w:tc>
      </w:tr>
      <w:tr>
        <w:trPr>
          <w:trHeight w:val="209"/>
        </w:trPr>
        <w:tc>
          <w:tcPr>
            <w:tcW w:w="7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Unpaid salary and salary related expenses</w:t>
            </w:r>
          </w:p>
        </w:tc>
        <w:tc>
          <w:tcPr>
            <w:tcW w:w="14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14,363</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9,866</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20,680</w:t>
            </w:r>
          </w:p>
        </w:tc>
        <w:tc>
          <w:tcPr>
            <w:tcW w:w="10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19,860</w:t>
            </w: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vacation leave</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9,674</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9,337</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Accrued commercial fees</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24,718</w:t>
            </w:r>
          </w:p>
        </w:tc>
        <w:tc>
          <w:tcPr>
            <w:tcW w:w="10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24,718</w:t>
            </w: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royalties</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9,955</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10,933</w:t>
            </w: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Accrued other expenses</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12,917</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19,511</w:t>
            </w:r>
          </w:p>
        </w:tc>
      </w:tr>
      <w:tr>
        <w:trPr>
          <w:trHeight w:val="209"/>
        </w:trPr>
        <w:tc>
          <w:tcPr>
            <w:tcW w:w="7180" w:type="dxa"/>
            <w:vAlign w:val="bottom"/>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92,307</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94,225</w:t>
            </w:r>
          </w:p>
        </w:tc>
      </w:tr>
    </w:tbl>
    <w:p>
      <w:pPr>
        <w:spacing w:after="0" w:line="198" w:lineRule="exact"/>
        <w:rPr>
          <w:sz w:val="20"/>
          <w:szCs w:val="20"/>
          <w:color w:val="auto"/>
        </w:rPr>
      </w:pPr>
    </w:p>
    <w:p>
      <w:pPr>
        <w:jc w:val="both"/>
        <w:ind w:left="660" w:right="500"/>
        <w:spacing w:after="0" w:line="312" w:lineRule="auto"/>
        <w:rPr>
          <w:sz w:val="20"/>
          <w:szCs w:val="20"/>
          <w:color w:val="auto"/>
        </w:rPr>
      </w:pPr>
      <w:r>
        <w:rPr>
          <w:rFonts w:ascii="Times New Roman" w:cs="Times New Roman" w:eastAsia="Times New Roman" w:hAnsi="Times New Roman"/>
          <w:sz w:val="17"/>
          <w:szCs w:val="17"/>
          <w:color w:val="auto"/>
        </w:rPr>
        <w:t>Change in Accrued other expenses as of 31 March 2026 is mainly driven by a decrease of $3.5 million associated with the collaboration and license agreement with Dr. Reddy's and VAT liabilities by $1.5 million. The remainder of the balance is composed of recurring liabilities.</w:t>
      </w:r>
    </w:p>
    <w:p>
      <w:pPr>
        <w:spacing w:after="0" w:line="140"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instruments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Accounting classification and carrying amounts</w:t>
      </w:r>
    </w:p>
    <w:p>
      <w:pPr>
        <w:spacing w:after="0" w:line="225" w:lineRule="exact"/>
        <w:rPr>
          <w:rFonts w:ascii="Times New Roman" w:cs="Times New Roman" w:eastAsia="Times New Roman" w:hAnsi="Times New Roman"/>
          <w:sz w:val="18"/>
          <w:szCs w:val="18"/>
          <w:color w:val="auto"/>
        </w:rPr>
      </w:pPr>
    </w:p>
    <w:p>
      <w:pPr>
        <w:ind w:left="660" w:right="2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management’s estimate that the carrying amounts of financial assets and financial liabilities carried at amortized cost approximate their fair value, with the exception of the 2025 Convertible Bonds and the Senior Secured First Lien Term Loan Facility.</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differences between the fair values and carrying amounts of these borrowings are identified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820" w:type="dxa"/>
            <w:vAlign w:val="bottom"/>
            <w:gridSpan w:val="3"/>
          </w:tcPr>
          <w:p>
            <w:pPr>
              <w:jc w:val="center"/>
              <w:ind w:left="950"/>
              <w:spacing w:after="0"/>
              <w:rPr>
                <w:sz w:val="20"/>
                <w:szCs w:val="20"/>
                <w:color w:val="auto"/>
              </w:rPr>
            </w:pPr>
            <w:r>
              <w:rPr>
                <w:rFonts w:ascii="Times New Roman" w:cs="Times New Roman" w:eastAsia="Times New Roman" w:hAnsi="Times New Roman"/>
                <w:sz w:val="18"/>
                <w:szCs w:val="18"/>
                <w:color w:val="auto"/>
              </w:rPr>
              <w:t>31 March</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4960" w:type="dxa"/>
            <w:vAlign w:val="bottom"/>
            <w:gridSpan w:val="4"/>
          </w:tcPr>
          <w:p>
            <w:pPr>
              <w:jc w:val="center"/>
              <w:ind w:left="4150"/>
              <w:spacing w:after="0"/>
              <w:rPr>
                <w:sz w:val="20"/>
                <w:szCs w:val="20"/>
                <w:color w:val="auto"/>
              </w:rPr>
            </w:pPr>
            <w:r>
              <w:rPr>
                <w:rFonts w:ascii="Times New Roman" w:cs="Times New Roman" w:eastAsia="Times New Roman" w:hAnsi="Times New Roman"/>
                <w:sz w:val="18"/>
                <w:szCs w:val="18"/>
                <w:color w:val="auto"/>
                <w:w w:val="99"/>
              </w:rPr>
              <w:t>2026</w:t>
            </w: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23"/>
        </w:trPr>
        <w:tc>
          <w:tcPr>
            <w:tcW w:w="66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82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Carrying Amount</w:t>
            </w:r>
          </w:p>
        </w:tc>
        <w:tc>
          <w:tcPr>
            <w:tcW w:w="110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99"/>
              </w:rPr>
              <w:t>Fair Value</w:t>
            </w:r>
          </w:p>
        </w:tc>
        <w:tc>
          <w:tcPr>
            <w:tcW w:w="48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First Lien Term Loan Facility</w:t>
            </w:r>
          </w:p>
        </w:tc>
        <w:tc>
          <w:tcPr>
            <w:tcW w:w="314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1,031,822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1,076,312</w:t>
            </w:r>
          </w:p>
        </w:tc>
        <w:tc>
          <w:tcPr>
            <w:tcW w:w="480" w:type="dxa"/>
            <w:vAlign w:val="bottom"/>
          </w:tcPr>
          <w:p>
            <w:pPr>
              <w:spacing w:after="0"/>
              <w:rPr>
                <w:sz w:val="18"/>
                <w:szCs w:val="18"/>
                <w:color w:val="auto"/>
              </w:rPr>
            </w:pPr>
          </w:p>
        </w:tc>
      </w:tr>
      <w:tr>
        <w:trPr>
          <w:trHeight w:val="229"/>
        </w:trPr>
        <w:tc>
          <w:tcPr>
            <w:tcW w:w="66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2025 Convertible Bonds</w:t>
            </w:r>
          </w:p>
        </w:tc>
        <w:tc>
          <w:tcPr>
            <w:tcW w:w="45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69,938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68,685</w:t>
            </w:r>
          </w:p>
        </w:tc>
        <w:tc>
          <w:tcPr>
            <w:tcW w:w="48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1,101,760</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1,144,997</w:t>
            </w:r>
          </w:p>
        </w:tc>
        <w:tc>
          <w:tcPr>
            <w:tcW w:w="480" w:type="dxa"/>
            <w:vAlign w:val="bottom"/>
          </w:tcPr>
          <w:p>
            <w:pPr>
              <w:spacing w:after="0"/>
              <w:rPr>
                <w:sz w:val="18"/>
                <w:szCs w:val="18"/>
                <w:color w:val="auto"/>
              </w:rPr>
            </w:pPr>
          </w:p>
        </w:tc>
      </w:tr>
      <w:tr>
        <w:trPr>
          <w:trHeight w:val="623"/>
        </w:trPr>
        <w:tc>
          <w:tcPr>
            <w:tcW w:w="6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9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31 December</w:t>
            </w:r>
          </w:p>
        </w:tc>
        <w:tc>
          <w:tcPr>
            <w:tcW w:w="480" w:type="dxa"/>
            <w:vAlign w:val="bottom"/>
          </w:tcPr>
          <w:p>
            <w:pPr>
              <w:spacing w:after="0"/>
              <w:rPr>
                <w:sz w:val="24"/>
                <w:szCs w:val="24"/>
                <w:color w:val="auto"/>
              </w:rPr>
            </w:pPr>
          </w:p>
        </w:tc>
      </w:tr>
      <w:tr>
        <w:trPr>
          <w:trHeight w:val="234"/>
        </w:trPr>
        <w:tc>
          <w:tcPr>
            <w:tcW w:w="6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4960" w:type="dxa"/>
            <w:vAlign w:val="bottom"/>
            <w:gridSpan w:val="4"/>
          </w:tcPr>
          <w:p>
            <w:pPr>
              <w:jc w:val="center"/>
              <w:ind w:left="4150"/>
              <w:spacing w:after="0"/>
              <w:rPr>
                <w:sz w:val="20"/>
                <w:szCs w:val="20"/>
                <w:color w:val="auto"/>
              </w:rPr>
            </w:pPr>
            <w:r>
              <w:rPr>
                <w:rFonts w:ascii="Times New Roman" w:cs="Times New Roman" w:eastAsia="Times New Roman" w:hAnsi="Times New Roman"/>
                <w:sz w:val="18"/>
                <w:szCs w:val="18"/>
                <w:color w:val="auto"/>
                <w:w w:val="99"/>
              </w:rPr>
              <w:t>2025</w:t>
            </w: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23"/>
        </w:trPr>
        <w:tc>
          <w:tcPr>
            <w:tcW w:w="66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82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Carrying Amount</w:t>
            </w:r>
          </w:p>
        </w:tc>
        <w:tc>
          <w:tcPr>
            <w:tcW w:w="110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99"/>
              </w:rPr>
              <w:t>Fair Value</w:t>
            </w:r>
          </w:p>
        </w:tc>
        <w:tc>
          <w:tcPr>
            <w:tcW w:w="48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First Lien Term Loan Facility</w:t>
            </w:r>
          </w:p>
        </w:tc>
        <w:tc>
          <w:tcPr>
            <w:tcW w:w="314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1,031,565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1,108,552</w:t>
            </w:r>
          </w:p>
        </w:tc>
        <w:tc>
          <w:tcPr>
            <w:tcW w:w="48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2025 Convertible Bonds</w:t>
            </w:r>
          </w:p>
        </w:tc>
        <w:tc>
          <w:tcPr>
            <w:tcW w:w="45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68,367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72,765</w:t>
            </w:r>
          </w:p>
        </w:tc>
        <w:tc>
          <w:tcPr>
            <w:tcW w:w="480" w:type="dxa"/>
            <w:vAlign w:val="bottom"/>
          </w:tcPr>
          <w:p>
            <w:pPr>
              <w:spacing w:after="0"/>
              <w:rPr>
                <w:sz w:val="19"/>
                <w:szCs w:val="19"/>
                <w:color w:val="auto"/>
              </w:rPr>
            </w:pPr>
          </w:p>
        </w:tc>
      </w:tr>
      <w:tr>
        <w:trPr>
          <w:trHeight w:val="209"/>
        </w:trPr>
        <w:tc>
          <w:tcPr>
            <w:tcW w:w="66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1,099,932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1,181,317</w:t>
            </w:r>
          </w:p>
        </w:tc>
        <w:tc>
          <w:tcPr>
            <w:tcW w:w="480" w:type="dxa"/>
            <w:vAlign w:val="bottom"/>
          </w:tcPr>
          <w:p>
            <w:pPr>
              <w:spacing w:after="0"/>
              <w:rPr>
                <w:sz w:val="18"/>
                <w:szCs w:val="18"/>
                <w:color w:val="auto"/>
              </w:rPr>
            </w:pPr>
          </w:p>
        </w:tc>
      </w:tr>
      <w:tr>
        <w:trPr>
          <w:trHeight w:val="568"/>
        </w:trPr>
        <w:tc>
          <w:tcPr>
            <w:tcW w:w="6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4"/>
          </w:tcPr>
          <w:p>
            <w:pPr>
              <w:ind w:left="760"/>
              <w:spacing w:after="0"/>
              <w:rPr>
                <w:sz w:val="20"/>
                <w:szCs w:val="20"/>
                <w:color w:val="auto"/>
              </w:rPr>
            </w:pPr>
            <w:r>
              <w:rPr>
                <w:rFonts w:ascii="Times New Roman" w:cs="Times New Roman" w:eastAsia="Times New Roman" w:hAnsi="Times New Roman"/>
                <w:sz w:val="18"/>
                <w:szCs w:val="18"/>
                <w:color w:val="auto"/>
              </w:rPr>
              <w:t>F-22</w:t>
            </w:r>
          </w:p>
        </w:tc>
        <w:tc>
          <w:tcPr>
            <w:tcW w:w="1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u w:val="single" w:color="auto"/>
          <w:color w:val="auto"/>
        </w:rPr>
        <w:t>Fair value measurements</w:t>
      </w:r>
    </w:p>
    <w:p>
      <w:pPr>
        <w:spacing w:after="0" w:line="225" w:lineRule="exact"/>
        <w:rPr>
          <w:sz w:val="20"/>
          <w:szCs w:val="20"/>
          <w:color w:val="auto"/>
        </w:rPr>
      </w:pPr>
    </w:p>
    <w:p>
      <w:pPr>
        <w:ind w:left="660" w:right="360"/>
        <w:spacing w:after="0" w:line="282" w:lineRule="auto"/>
        <w:rPr>
          <w:sz w:val="20"/>
          <w:szCs w:val="20"/>
          <w:color w:val="auto"/>
        </w:rPr>
      </w:pPr>
      <w:r>
        <w:rPr>
          <w:rFonts w:ascii="Times New Roman" w:cs="Times New Roman" w:eastAsia="Times New Roman" w:hAnsi="Times New Roman"/>
          <w:sz w:val="18"/>
          <w:szCs w:val="18"/>
          <w:color w:val="auto"/>
        </w:rPr>
        <w:t>The following tables illustrate the fair value measurement hierarchy of the Group’s financial instruments measured at fair value on a recurring basis as of 31 March 2026 and 31 December 2025:</w:t>
      </w:r>
    </w:p>
    <w:p>
      <w:pPr>
        <w:spacing w:after="0" w:line="17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8"/>
                <w:szCs w:val="18"/>
                <w:color w:val="auto"/>
                <w:w w:val="99"/>
              </w:rPr>
              <w:t>31 March 2026</w:t>
            </w:r>
          </w:p>
        </w:tc>
        <w:tc>
          <w:tcPr>
            <w:tcW w:w="1200" w:type="dxa"/>
            <w:vAlign w:val="bottom"/>
            <w:tcBorders>
              <w:bottom w:val="single" w:sz="8" w:color="auto"/>
            </w:tcBorders>
          </w:tcPr>
          <w:p>
            <w:pPr>
              <w:spacing w:after="0"/>
              <w:rPr>
                <w:sz w:val="20"/>
                <w:szCs w:val="20"/>
                <w:color w:val="auto"/>
              </w:rPr>
            </w:pPr>
          </w:p>
        </w:tc>
      </w:tr>
      <w:tr>
        <w:trPr>
          <w:trHeight w:val="223"/>
        </w:trPr>
        <w:tc>
          <w:tcPr>
            <w:tcW w:w="4960" w:type="dxa"/>
            <w:vAlign w:val="bottom"/>
          </w:tcPr>
          <w:p>
            <w:pPr>
              <w:spacing w:after="0"/>
              <w:rPr>
                <w:sz w:val="19"/>
                <w:szCs w:val="19"/>
                <w:color w:val="auto"/>
              </w:rPr>
            </w:pPr>
          </w:p>
        </w:tc>
        <w:tc>
          <w:tcPr>
            <w:tcW w:w="1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Level 1</w:t>
            </w:r>
          </w:p>
        </w:tc>
        <w:tc>
          <w:tcPr>
            <w:tcW w:w="1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Level 2</w:t>
            </w:r>
          </w:p>
        </w:tc>
        <w:tc>
          <w:tcPr>
            <w:tcW w:w="1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Level 3</w:t>
            </w: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Feature</w:t>
            </w:r>
          </w:p>
        </w:tc>
        <w:tc>
          <w:tcPr>
            <w:tcW w:w="1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16,881</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16,881</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Predecessor Earn Out Shares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1,800</w:t>
            </w:r>
          </w:p>
        </w:tc>
      </w:tr>
      <w:tr>
        <w:trPr>
          <w:trHeight w:val="23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OACB Warrants</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3,082</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3,082</w:t>
            </w:r>
          </w:p>
        </w:tc>
      </w:tr>
      <w:tr>
        <w:trPr>
          <w:trHeight w:val="209"/>
        </w:trPr>
        <w:tc>
          <w:tcPr>
            <w:tcW w:w="496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3,082</w:t>
            </w:r>
          </w:p>
        </w:tc>
        <w:tc>
          <w:tcPr>
            <w:tcW w:w="10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16,881</w:t>
            </w:r>
          </w:p>
        </w:tc>
        <w:tc>
          <w:tcPr>
            <w:tcW w:w="8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21,763</w:t>
            </w:r>
          </w:p>
        </w:tc>
      </w:tr>
      <w:tr>
        <w:trPr>
          <w:trHeight w:val="439"/>
        </w:trPr>
        <w:tc>
          <w:tcPr>
            <w:tcW w:w="496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8"/>
                <w:szCs w:val="18"/>
                <w:color w:val="auto"/>
              </w:rPr>
              <w:t>31 December 2025</w:t>
            </w:r>
          </w:p>
        </w:tc>
        <w:tc>
          <w:tcPr>
            <w:tcW w:w="1200" w:type="dxa"/>
            <w:vAlign w:val="bottom"/>
            <w:tcBorders>
              <w:bottom w:val="single" w:sz="8" w:color="auto"/>
            </w:tcBorders>
          </w:tcPr>
          <w:p>
            <w:pPr>
              <w:spacing w:after="0"/>
              <w:rPr>
                <w:sz w:val="24"/>
                <w:szCs w:val="24"/>
                <w:color w:val="auto"/>
              </w:rPr>
            </w:pPr>
          </w:p>
        </w:tc>
      </w:tr>
      <w:tr>
        <w:trPr>
          <w:trHeight w:val="223"/>
        </w:trPr>
        <w:tc>
          <w:tcPr>
            <w:tcW w:w="4960" w:type="dxa"/>
            <w:vAlign w:val="bottom"/>
          </w:tcPr>
          <w:p>
            <w:pPr>
              <w:spacing w:after="0"/>
              <w:rPr>
                <w:sz w:val="19"/>
                <w:szCs w:val="19"/>
                <w:color w:val="auto"/>
              </w:rPr>
            </w:pPr>
          </w:p>
        </w:tc>
        <w:tc>
          <w:tcPr>
            <w:tcW w:w="1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Level 1</w:t>
            </w:r>
          </w:p>
        </w:tc>
        <w:tc>
          <w:tcPr>
            <w:tcW w:w="1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Level 2</w:t>
            </w:r>
          </w:p>
        </w:tc>
        <w:tc>
          <w:tcPr>
            <w:tcW w:w="1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Level 3</w:t>
            </w: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Feature</w:t>
            </w:r>
          </w:p>
        </w:tc>
        <w:tc>
          <w:tcPr>
            <w:tcW w:w="1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38,732</w:t>
            </w:r>
          </w:p>
        </w:tc>
        <w:tc>
          <w:tcPr>
            <w:tcW w:w="8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38,732</w:t>
            </w:r>
          </w:p>
        </w:tc>
      </w:tr>
      <w:tr>
        <w:trPr>
          <w:trHeight w:val="22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Predecessor Earn Out Shares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8,800</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8,800</w:t>
            </w:r>
          </w:p>
        </w:tc>
      </w:tr>
      <w:tr>
        <w:trPr>
          <w:trHeight w:val="23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OACB Warrants</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6,462</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6,462</w:t>
            </w:r>
          </w:p>
        </w:tc>
      </w:tr>
      <w:tr>
        <w:trPr>
          <w:trHeight w:val="209"/>
        </w:trPr>
        <w:tc>
          <w:tcPr>
            <w:tcW w:w="496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6,462</w:t>
            </w:r>
          </w:p>
        </w:tc>
        <w:tc>
          <w:tcPr>
            <w:tcW w:w="10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8,800</w:t>
            </w:r>
          </w:p>
        </w:tc>
        <w:tc>
          <w:tcPr>
            <w:tcW w:w="1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38,732</w:t>
            </w:r>
          </w:p>
        </w:tc>
        <w:tc>
          <w:tcPr>
            <w:tcW w:w="8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53,994</w:t>
            </w:r>
          </w:p>
        </w:tc>
      </w:tr>
    </w:tbl>
    <w:p>
      <w:pPr>
        <w:spacing w:after="0" w:line="198" w:lineRule="exact"/>
        <w:rPr>
          <w:sz w:val="20"/>
          <w:szCs w:val="20"/>
          <w:color w:val="auto"/>
        </w:rPr>
      </w:pPr>
    </w:p>
    <w:p>
      <w:pPr>
        <w:ind w:left="660" w:right="40"/>
        <w:spacing w:after="0" w:line="282" w:lineRule="auto"/>
        <w:rPr>
          <w:sz w:val="20"/>
          <w:szCs w:val="20"/>
          <w:color w:val="auto"/>
        </w:rPr>
      </w:pPr>
      <w:r>
        <w:rPr>
          <w:rFonts w:ascii="Times New Roman" w:cs="Times New Roman" w:eastAsia="Times New Roman" w:hAnsi="Times New Roman"/>
          <w:sz w:val="18"/>
          <w:szCs w:val="18"/>
          <w:color w:val="auto"/>
        </w:rPr>
        <w:t>The Group did not recognize any transfer of assets or liabilities between levels of the fair value hierarchy during the three months ended 31 March 2026.</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Conversion Feature</w:t>
      </w:r>
    </w:p>
    <w:p>
      <w:pPr>
        <w:spacing w:after="0" w:line="227" w:lineRule="exact"/>
        <w:rPr>
          <w:sz w:val="20"/>
          <w:szCs w:val="20"/>
          <w:color w:val="auto"/>
        </w:rPr>
      </w:pPr>
    </w:p>
    <w:p>
      <w:pPr>
        <w:ind w:left="660" w:right="500"/>
        <w:spacing w:after="0" w:line="282" w:lineRule="auto"/>
        <w:rPr>
          <w:sz w:val="20"/>
          <w:szCs w:val="20"/>
          <w:color w:val="auto"/>
        </w:rPr>
      </w:pPr>
      <w:r>
        <w:rPr>
          <w:rFonts w:ascii="Times New Roman" w:cs="Times New Roman" w:eastAsia="Times New Roman" w:hAnsi="Times New Roman"/>
          <w:sz w:val="18"/>
          <w:szCs w:val="18"/>
          <w:color w:val="auto"/>
        </w:rPr>
        <w:t>The Conversion Feature had a fair value of $16.9 million as of 31 March 2026, resulting in $21.9 million of finance costs for the year ended 31 March 2026.</w:t>
      </w:r>
    </w:p>
    <w:p>
      <w:pPr>
        <w:spacing w:after="0" w:line="162" w:lineRule="exact"/>
        <w:rPr>
          <w:sz w:val="20"/>
          <w:szCs w:val="20"/>
          <w:color w:val="auto"/>
        </w:rPr>
      </w:pPr>
    </w:p>
    <w:p>
      <w:pPr>
        <w:ind w:left="660" w:right="60"/>
        <w:spacing w:after="0" w:line="282" w:lineRule="auto"/>
        <w:rPr>
          <w:sz w:val="20"/>
          <w:szCs w:val="20"/>
          <w:color w:val="auto"/>
        </w:rPr>
      </w:pPr>
      <w:r>
        <w:rPr>
          <w:rFonts w:ascii="Times New Roman" w:cs="Times New Roman" w:eastAsia="Times New Roman" w:hAnsi="Times New Roman"/>
          <w:sz w:val="18"/>
          <w:szCs w:val="18"/>
          <w:color w:val="auto"/>
        </w:rPr>
        <w:t>The fair value of the Conversion Feature is determined using a binomial option-pricing model that incorporates both observable market inputs and significant unobservable inputs.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assumptions and inputs that were used for the model in valuing the Conversion Feature: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31 March</w:t>
            </w:r>
          </w:p>
        </w:tc>
        <w:tc>
          <w:tcPr>
            <w:tcW w:w="160" w:type="dxa"/>
            <w:vAlign w:val="bottom"/>
          </w:tcPr>
          <w:p>
            <w:pPr>
              <w:spacing w:after="0"/>
              <w:rPr>
                <w:sz w:val="18"/>
                <w:szCs w:val="18"/>
                <w:color w:val="auto"/>
              </w:rPr>
            </w:pPr>
          </w:p>
        </w:tc>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31 December</w:t>
            </w:r>
          </w:p>
        </w:tc>
        <w:tc>
          <w:tcPr>
            <w:tcW w:w="48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2900" w:type="dxa"/>
            <w:vAlign w:val="bottom"/>
            <w:tcBorders>
              <w:bottom w:val="single" w:sz="8" w:color="CCEEFF"/>
            </w:tcBorders>
          </w:tcPr>
          <w:p>
            <w:pPr>
              <w:spacing w:after="0"/>
              <w:rPr>
                <w:sz w:val="20"/>
                <w:szCs w:val="20"/>
                <w:color w:val="auto"/>
              </w:rPr>
            </w:pPr>
          </w:p>
        </w:tc>
        <w:tc>
          <w:tcPr>
            <w:tcW w:w="4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Pr>
          <w:p>
            <w:pPr>
              <w:spacing w:after="0"/>
              <w:rPr>
                <w:sz w:val="20"/>
                <w:szCs w:val="20"/>
                <w:color w:val="auto"/>
              </w:rPr>
            </w:pPr>
          </w:p>
        </w:tc>
      </w:tr>
      <w:tr>
        <w:trPr>
          <w:trHeight w:val="209"/>
        </w:trPr>
        <w:tc>
          <w:tcPr>
            <w:tcW w:w="66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w:t>
            </w:r>
          </w:p>
        </w:tc>
        <w:tc>
          <w:tcPr>
            <w:tcW w:w="4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5.13</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Volatility rate</w:t>
            </w:r>
          </w:p>
        </w:tc>
        <w:tc>
          <w:tcPr>
            <w:tcW w:w="4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8"/>
              </w:rPr>
              <w:t>34.7%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8"/>
              </w:rPr>
              <w:t>30.7%</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4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8"/>
              </w:rPr>
              <w:t>18.7%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8"/>
              </w:rPr>
              <w:t>16.2%</w:t>
            </w:r>
          </w:p>
        </w:tc>
        <w:tc>
          <w:tcPr>
            <w:tcW w:w="480" w:type="dxa"/>
            <w:vAlign w:val="bottom"/>
          </w:tcPr>
          <w:p>
            <w:pPr>
              <w:spacing w:after="0"/>
              <w:rPr>
                <w:sz w:val="18"/>
                <w:szCs w:val="18"/>
                <w:color w:val="auto"/>
              </w:rPr>
            </w:pPr>
          </w:p>
        </w:tc>
      </w:tr>
      <w:tr>
        <w:trPr>
          <w:trHeight w:val="574"/>
        </w:trPr>
        <w:tc>
          <w:tcPr>
            <w:tcW w:w="6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2"/>
          </w:tcPr>
          <w:p>
            <w:pPr>
              <w:jc w:val="right"/>
              <w:ind w:right="2070"/>
              <w:spacing w:after="0"/>
              <w:rPr>
                <w:sz w:val="20"/>
                <w:szCs w:val="20"/>
                <w:color w:val="auto"/>
              </w:rPr>
            </w:pPr>
            <w:r>
              <w:rPr>
                <w:rFonts w:ascii="Times New Roman" w:cs="Times New Roman" w:eastAsia="Times New Roman" w:hAnsi="Times New Roman"/>
                <w:sz w:val="18"/>
                <w:szCs w:val="18"/>
                <w:color w:val="auto"/>
              </w:rPr>
              <w:t>F-23</w:t>
            </w: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Predecessor Earn Out Shares</w:t>
      </w:r>
    </w:p>
    <w:p>
      <w:pPr>
        <w:spacing w:after="0" w:line="227" w:lineRule="exact"/>
        <w:rPr>
          <w:sz w:val="20"/>
          <w:szCs w:val="20"/>
          <w:color w:val="auto"/>
        </w:rPr>
      </w:pPr>
    </w:p>
    <w:p>
      <w:pPr>
        <w:ind w:left="660" w:right="260"/>
        <w:spacing w:after="0" w:line="282" w:lineRule="auto"/>
        <w:rPr>
          <w:sz w:val="20"/>
          <w:szCs w:val="20"/>
          <w:color w:val="auto"/>
        </w:rPr>
      </w:pPr>
      <w:r>
        <w:rPr>
          <w:rFonts w:ascii="Times New Roman" w:cs="Times New Roman" w:eastAsia="Times New Roman" w:hAnsi="Times New Roman"/>
          <w:sz w:val="18"/>
          <w:szCs w:val="18"/>
          <w:color w:val="auto"/>
        </w:rPr>
        <w:t>The Predecessor Earn Out Shares had a fair value of $1.8 million as of 31 March 2026, resulting in $7.0 million of finance income for the three months ended 31 March 2026.</w:t>
      </w:r>
    </w:p>
    <w:p>
      <w:pPr>
        <w:spacing w:after="0" w:line="162" w:lineRule="exact"/>
        <w:rPr>
          <w:sz w:val="20"/>
          <w:szCs w:val="20"/>
          <w:color w:val="auto"/>
        </w:rPr>
      </w:pPr>
    </w:p>
    <w:p>
      <w:pPr>
        <w:ind w:left="660" w:right="60"/>
        <w:spacing w:after="0" w:line="266" w:lineRule="auto"/>
        <w:rPr>
          <w:sz w:val="20"/>
          <w:szCs w:val="20"/>
          <w:color w:val="auto"/>
        </w:rPr>
      </w:pPr>
      <w:r>
        <w:rPr>
          <w:rFonts w:ascii="Times New Roman" w:cs="Times New Roman" w:eastAsia="Times New Roman" w:hAnsi="Times New Roman"/>
          <w:sz w:val="18"/>
          <w:szCs w:val="18"/>
          <w:color w:val="auto"/>
        </w:rPr>
        <w:t>The fair value of the Predecessor Earn Out Shares was determined using Monte Carlo analysis that incorporated inputs and assumptions as further described below. The inputs and assumptions associated with the valuation of the instruments are determined based on all relevant internal and external information available and are reviewed and reassessed at each reporting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assumptions and inputs that were used for the model in valuing the Predecessor Earn Out Shares: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31 March</w:t>
            </w:r>
          </w:p>
        </w:tc>
        <w:tc>
          <w:tcPr>
            <w:tcW w:w="160" w:type="dxa"/>
            <w:vAlign w:val="bottom"/>
          </w:tcPr>
          <w:p>
            <w:pPr>
              <w:spacing w:after="0"/>
              <w:rPr>
                <w:sz w:val="18"/>
                <w:szCs w:val="18"/>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31 December</w:t>
            </w:r>
          </w:p>
        </w:tc>
      </w:tr>
      <w:tr>
        <w:trPr>
          <w:trHeight w:val="234"/>
        </w:trPr>
        <w:tc>
          <w:tcPr>
            <w:tcW w:w="4180" w:type="dxa"/>
            <w:vAlign w:val="bottom"/>
            <w:tcBorders>
              <w:bottom w:val="single" w:sz="8" w:color="CCEEFF"/>
            </w:tcBorders>
          </w:tcPr>
          <w:p>
            <w:pPr>
              <w:spacing w:after="0"/>
              <w:rPr>
                <w:sz w:val="20"/>
                <w:szCs w:val="20"/>
                <w:color w:val="auto"/>
              </w:rPr>
            </w:pPr>
          </w:p>
        </w:tc>
        <w:tc>
          <w:tcPr>
            <w:tcW w:w="29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r>
      <w:tr>
        <w:trPr>
          <w:trHeight w:val="21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2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19,165,000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19,165,000</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Share price</w:t>
            </w:r>
          </w:p>
        </w:tc>
        <w:tc>
          <w:tcPr>
            <w:tcW w:w="3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5.13</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 rate</w:t>
            </w:r>
          </w:p>
        </w:tc>
        <w:tc>
          <w:tcPr>
            <w:tcW w:w="2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bl>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OACB Warrants</w:t>
      </w:r>
    </w:p>
    <w:p>
      <w:pPr>
        <w:spacing w:after="0" w:line="227" w:lineRule="exact"/>
        <w:rPr>
          <w:sz w:val="20"/>
          <w:szCs w:val="20"/>
          <w:color w:val="auto"/>
        </w:rPr>
      </w:pPr>
    </w:p>
    <w:p>
      <w:pPr>
        <w:ind w:left="660" w:right="80"/>
        <w:spacing w:after="0" w:line="266" w:lineRule="auto"/>
        <w:rPr>
          <w:sz w:val="20"/>
          <w:szCs w:val="20"/>
          <w:color w:val="auto"/>
        </w:rPr>
      </w:pPr>
      <w:r>
        <w:rPr>
          <w:rFonts w:ascii="Times New Roman" w:cs="Times New Roman" w:eastAsia="Times New Roman" w:hAnsi="Times New Roman"/>
          <w:sz w:val="18"/>
          <w:szCs w:val="18"/>
          <w:color w:val="auto"/>
        </w:rPr>
        <w:t>The OACB warrants had a fair value of $3.1 million as of 31 March 2026. The fair value of the warrants was derived from the publicly quoted trading price at the valuation date. The change in fair value of the OACB Warrants resulted in $3.4 million of finance income for the three months ended 31 March 2026.</w:t>
      </w:r>
    </w:p>
    <w:p>
      <w:pPr>
        <w:spacing w:after="0" w:line="176"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Supplemental cash flow information</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 cash flow information for the three months ended 31 March 2026 and 2025 is included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7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92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31 March</w:t>
            </w: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7180" w:type="dxa"/>
            <w:vAlign w:val="bottom"/>
            <w:tcBorders>
              <w:bottom w:val="single" w:sz="8" w:color="CCEEFF"/>
            </w:tcBorders>
            <w:vMerge w:val="continue"/>
          </w:tcPr>
          <w:p>
            <w:pPr>
              <w:spacing w:after="0"/>
              <w:rPr>
                <w:sz w:val="20"/>
                <w:szCs w:val="20"/>
                <w:color w:val="auto"/>
              </w:rPr>
            </w:pPr>
          </w:p>
        </w:tc>
        <w:tc>
          <w:tcPr>
            <w:tcW w:w="14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property, plant and equipment in trade payables and other current liabilities</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7,283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3,824</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intangibles in trade payables and other current liabilities</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14,966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1,207</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through new leases</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3,074</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RSUs with shares</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767</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trade payables through financing</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0"/>
        </w:trPr>
        <w:tc>
          <w:tcPr>
            <w:tcW w:w="660" w:type="dxa"/>
            <w:vAlign w:val="bottom"/>
            <w:tcBorders>
              <w:bottom w:val="single" w:sz="8" w:color="auto"/>
            </w:tcBorders>
          </w:tcPr>
          <w:p>
            <w:pPr>
              <w:spacing w:after="0"/>
              <w:rPr>
                <w:sz w:val="24"/>
                <w:szCs w:val="24"/>
                <w:color w:val="auto"/>
              </w:rPr>
            </w:pPr>
          </w:p>
        </w:tc>
        <w:tc>
          <w:tcPr>
            <w:tcW w:w="7180" w:type="dxa"/>
            <w:vAlign w:val="bottom"/>
            <w:tcBorders>
              <w:bottom w:val="single" w:sz="8" w:color="auto"/>
            </w:tcBorders>
          </w:tcPr>
          <w:p>
            <w:pPr>
              <w:ind w:left="4800"/>
              <w:spacing w:after="0"/>
              <w:rPr>
                <w:sz w:val="20"/>
                <w:szCs w:val="20"/>
                <w:color w:val="auto"/>
              </w:rPr>
            </w:pPr>
            <w:r>
              <w:rPr>
                <w:rFonts w:ascii="Times New Roman" w:cs="Times New Roman" w:eastAsia="Times New Roman" w:hAnsi="Times New Roman"/>
                <w:sz w:val="18"/>
                <w:szCs w:val="18"/>
                <w:color w:val="auto"/>
              </w:rPr>
              <w:t>F-24</w:t>
            </w: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4" w:right="339" w:bottom="1440" w:gutter="0" w:footer="0" w:header="0"/>
        </w:sectPr>
      </w:pPr>
    </w:p>
    <w:bookmarkStart w:id="33" w:name="page34"/>
    <w:bookmarkEnd w:id="33"/>
    <w:p>
      <w:pPr>
        <w:ind w:left="652" w:hanging="652"/>
        <w:spacing w:after="0"/>
        <w:tabs>
          <w:tab w:leader="none" w:pos="65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events</w:t>
      </w:r>
    </w:p>
    <w:p>
      <w:pPr>
        <w:spacing w:after="0" w:line="225" w:lineRule="exact"/>
        <w:rPr>
          <w:rFonts w:ascii="Times New Roman" w:cs="Times New Roman" w:eastAsia="Times New Roman" w:hAnsi="Times New Roman"/>
          <w:sz w:val="18"/>
          <w:szCs w:val="18"/>
          <w:color w:val="auto"/>
        </w:rPr>
      </w:pPr>
    </w:p>
    <w:p>
      <w:pPr>
        <w:ind w:left="65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evaluated subsequent events through 8 June 2026, the date that the unaudited condensed consolidated interim financial statements were available to be issued.</w:t>
      </w:r>
    </w:p>
    <w:p>
      <w:pPr>
        <w:spacing w:after="0" w:line="161" w:lineRule="exact"/>
        <w:rPr>
          <w:rFonts w:ascii="Times New Roman" w:cs="Times New Roman" w:eastAsia="Times New Roman" w:hAnsi="Times New Roman"/>
          <w:sz w:val="18"/>
          <w:szCs w:val="18"/>
          <w:color w:val="auto"/>
        </w:rPr>
      </w:pPr>
    </w:p>
    <w:p>
      <w:pPr>
        <w:ind w:left="652"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11 May 2026, Alvotech announced that the U.S. Food and Drug Administration (FDA) has completed a routine cGMP surveillance inspection of the company’s manufacturing facility in Reykjavik, Iceland. At the conclusion of the inspection on 8 May 2026, the FDA issued a Form 483. The Company has stated that the observations are addressable and do not indicate material concerns with the site or its operations. On 4 June 2026, the Company announced the resubmission of Biologics License Applications (BLAs) to the FDA for AVT05 and AVT06 following the completion of the required data package and responses to the inspection observations. These applications relate to proposed biosimilars to Simponi®/Simponi Aria® and Eylea®, respectively. The timing and outcome of the FDA review process remain subject to regulatory review. Alvotech continues to expect FDA approval for the relevant BLAs during 2026.</w:t>
      </w:r>
    </w:p>
    <w:p>
      <w:pPr>
        <w:spacing w:after="0" w:line="188" w:lineRule="exact"/>
        <w:rPr>
          <w:rFonts w:ascii="Times New Roman" w:cs="Times New Roman" w:eastAsia="Times New Roman" w:hAnsi="Times New Roman"/>
          <w:sz w:val="18"/>
          <w:szCs w:val="18"/>
          <w:color w:val="auto"/>
        </w:rPr>
      </w:pPr>
    </w:p>
    <w:p>
      <w:pPr>
        <w:ind w:left="652" w:right="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8 June 2026, the Company announced that the FDA had accepted for review a BLA for AVT16, a proposed interchangeable biosimilar to Entyvio®. The timing and outcome of the FDA review process for this application remain subject to regulatory review. AVT16 is among Alvotech’s disclosed biosimilar candidates in immunology and form part of the company’s broader pipeline of biosimilar candidates aimed at expanding access to biologic medicines in major therapeutic areas. The BLA submission is supported by a comprehensive data package, including analytical, pharmacokinetic, and immunogenicity data generated to support the demonstration of biosimilarity between AVT16 and the reference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1323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sectPr>
      <w:pgSz w:w="11900" w:h="16838" w:orient="portrait"/>
      <w:cols w:equalWidth="0" w:num="1">
        <w:col w:w="11212"/>
      </w:cols>
      <w:pgMar w:left="328" w:top="79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2"/>
    </w:lvl>
  </w:abstractNum>
  <w:abstractNum w:abstractNumId="3">
    <w:nsid w:val="3352255A"/>
    <w:multiLevelType w:val="hybridMultilevel"/>
    <w:lvl w:ilvl="0">
      <w:lvlJc w:val="left"/>
      <w:lvlText w:val="%1."/>
      <w:numFmt w:val="decimal"/>
      <w:start w:val="3"/>
    </w:lvl>
  </w:abstractNum>
  <w:abstractNum w:abstractNumId="4">
    <w:nsid w:val="109CF92E"/>
    <w:multiLevelType w:val="hybridMultilevel"/>
    <w:lvl w:ilvl="0">
      <w:lvlJc w:val="left"/>
      <w:lvlText w:val="%1."/>
      <w:numFmt w:val="decimal"/>
      <w:start w:val="5"/>
    </w:lvl>
  </w:abstractNum>
  <w:abstractNum w:abstractNumId="5">
    <w:nsid w:val="DED7263"/>
    <w:multiLevelType w:val="hybridMultilevel"/>
    <w:lvl w:ilvl="0">
      <w:lvlJc w:val="left"/>
      <w:lvlText w:val="%1."/>
      <w:numFmt w:val="decimal"/>
      <w:start w:val="6"/>
    </w:lvl>
  </w:abstractNum>
  <w:abstractNum w:abstractNumId="6">
    <w:nsid w:val="7FDCC233"/>
    <w:multiLevelType w:val="hybridMultilevel"/>
    <w:lvl w:ilvl="0">
      <w:lvlJc w:val="left"/>
      <w:lvlText w:val="%1."/>
      <w:numFmt w:val="decimal"/>
      <w:start w:val="7"/>
    </w:lvl>
  </w:abstractNum>
  <w:abstractNum w:abstractNumId="7">
    <w:nsid w:val="1BEFD79F"/>
    <w:multiLevelType w:val="hybridMultilevel"/>
    <w:lvl w:ilvl="0">
      <w:lvlJc w:val="left"/>
      <w:lvlText w:val="%1."/>
      <w:numFmt w:val="decimal"/>
      <w:start w:val="8"/>
    </w:lvl>
  </w:abstractNum>
  <w:abstractNum w:abstractNumId="8">
    <w:nsid w:val="41A7C4C9"/>
    <w:multiLevelType w:val="hybridMultilevel"/>
    <w:lvl w:ilvl="0">
      <w:lvlJc w:val="left"/>
      <w:lvlText w:val="\emdash "/>
      <w:numFmt w:val="bullet"/>
      <w:start w:val="1"/>
    </w:lvl>
  </w:abstractNum>
  <w:abstractNum w:abstractNumId="9">
    <w:nsid w:val="6B68079A"/>
    <w:multiLevelType w:val="hybridMultilevel"/>
    <w:lvl w:ilvl="0">
      <w:lvlJc w:val="left"/>
      <w:lvlText w:val="%1."/>
      <w:numFmt w:val="decimal"/>
      <w:start w:val="9"/>
    </w:lvl>
  </w:abstractNum>
  <w:abstractNum w:abstractNumId="10">
    <w:nsid w:val="4E6AFB66"/>
    <w:multiLevelType w:val="hybridMultilevel"/>
    <w:lvl w:ilvl="0">
      <w:lvlJc w:val="left"/>
      <w:lvlText w:val="%1."/>
      <w:numFmt w:val="decimal"/>
      <w:start w:val="11"/>
    </w:lvl>
  </w:abstractNum>
  <w:abstractNum w:abstractNumId="11">
    <w:nsid w:val="25E45D32"/>
    <w:multiLevelType w:val="hybridMultilevel"/>
    <w:lvl w:ilvl="0">
      <w:lvlJc w:val="left"/>
      <w:lvlText w:val="%1."/>
      <w:numFmt w:val="decimal"/>
      <w:start w:val="13"/>
    </w:lvl>
  </w:abstractNum>
  <w:abstractNum w:abstractNumId="12">
    <w:nsid w:val="519B500D"/>
    <w:multiLevelType w:val="hybridMultilevel"/>
    <w:lvl w:ilvl="0">
      <w:lvlJc w:val="left"/>
      <w:lvlText w:val="%1."/>
      <w:numFmt w:val="decimal"/>
      <w:start w:val="14"/>
    </w:lvl>
  </w:abstractNum>
  <w:abstractNum w:abstractNumId="13">
    <w:nsid w:val="431BD7B7"/>
    <w:multiLevelType w:val="hybridMultilevel"/>
    <w:lvl w:ilvl="0">
      <w:lvlJc w:val="left"/>
      <w:lvlText w:val="%1."/>
      <w:numFmt w:val="decimal"/>
      <w:start w:val="15"/>
    </w:lvl>
  </w:abstractNum>
  <w:abstractNum w:abstractNumId="14">
    <w:nsid w:val="3F2DBA31"/>
    <w:multiLevelType w:val="hybridMultilevel"/>
    <w:lvl w:ilvl="0">
      <w:lvlJc w:val="left"/>
      <w:lvlText w:val="%1."/>
      <w:numFmt w:val="decimal"/>
      <w:start w:val="16"/>
    </w:lvl>
  </w:abstractNum>
  <w:abstractNum w:abstractNumId="15">
    <w:nsid w:val="7C83E458"/>
    <w:multiLevelType w:val="hybridMultilevel"/>
    <w:lvl w:ilvl="0">
      <w:lvlJc w:val="left"/>
      <w:lvlText w:val="%1."/>
      <w:numFmt w:val="decimal"/>
      <w:start w:val="17"/>
    </w:lvl>
  </w:abstractNum>
  <w:abstractNum w:abstractNumId="16">
    <w:nsid w:val="257130A3"/>
    <w:multiLevelType w:val="hybridMultilevel"/>
    <w:lvl w:ilvl="0">
      <w:lvlJc w:val="left"/>
      <w:lvlText w:val="%1."/>
      <w:numFmt w:val="decimal"/>
      <w:start w:val="18"/>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decimal"/>
      <w:start w:val="19"/>
    </w:lvl>
  </w:abstractNum>
  <w:abstractNum w:abstractNumId="19">
    <w:nsid w:val="628C895D"/>
    <w:multiLevelType w:val="hybridMultilevel"/>
    <w:lvl w:ilvl="0">
      <w:lvlJc w:val="left"/>
      <w:lvlText w:val="%1."/>
      <w:numFmt w:val="decimal"/>
      <w:start w:val="20"/>
    </w:lvl>
  </w:abstractNum>
  <w:abstractNum w:abstractNumId="20">
    <w:nsid w:val="333AB105"/>
    <w:multiLevelType w:val="hybridMultilevel"/>
    <w:lvl w:ilvl="0">
      <w:lvlJc w:val="left"/>
      <w:lvlText w:val="%1."/>
      <w:numFmt w:val="decimal"/>
      <w:start w:val="21"/>
    </w:lvl>
  </w:abstractNum>
  <w:abstractNum w:abstractNumId="21">
    <w:nsid w:val="721DA317"/>
    <w:multiLevelType w:val="hybridMultilevel"/>
    <w:lvl w:ilvl="0">
      <w:lvlJc w:val="left"/>
      <w:lvlText w:val="%1."/>
      <w:numFmt w:val="decimal"/>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2026-06-08T15:40:27Z</dcterms:created>
  <dcterms:modified xsi:type="dcterms:W3CDTF">2026-06-08T15:40:27Z</dcterms:modified>
</cp:coreProperties>
</file>