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Wessman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Chairman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Alvotech Lux Holdings S.A.S.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9, Rue de Bitbourg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L-1273 Luxembourg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Duchy of Luxembourg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Alvotech Lux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S.A.S.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333-261773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Wessman: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 filed December 20,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Disclose if the SPAC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 sponsors, directors, officers or their affiliates will participate in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 Financing.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900" w:right="2119" w:hanging="589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that the Sponsor has agreed to, among other things, waive its anti-dilution rights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its OACB Class B Ordinary Shares in connection with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consummation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 We also note a reference on page F-47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anti-dilution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with respect to the OACB private placement warrants, which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also held by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Sponsor. Please clarify whether the sponsor also has anti-dilution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with respect to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36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OACB private placement warrants and whether any financing Robert Wessman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Alvotech Lux Holdings S.A.S.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9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affiliated with the business combination would trigger this anti-dilution adjustment for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benefit of the sponsor.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Business Combination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equity stake will current OACB shareholders and Alvotech Shareholders have in TopCo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the Closing, page 10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table illustrating the ownership levels in TopCo excludes the impact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shares underlying the TopCo warrants. Please disclose the sponsor and its affiliates'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potential ownership interest in the combined company, assuming exercise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of all securities.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here and throughout the prospectus to show the potential impact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redemptions on the per share value of the shares owned by non-redeeming shareholders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 tabular presentation in relation to redemptions showing a range of redemption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scenarios, including an interim redemption level in addition to the minimum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maximum interim redemption levels that you currently present.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all possible sources and extent of dilution that shareholders who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elect not to redeem their shares may experience in connection with the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Provide disclosure of the impact of each significant source of dilution,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amount of equity held by founders, convertible securities, including warrants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retained by redeeming shareholders, at each of the redemption levels detailed in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sensitivity analysis, including any needed assumptions.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interests do OACB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current officers and directors have in the Business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Combination, 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and on page 25 concerning the interests of the sponsor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OACB's officers and directors in the business combination. Please expand your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quantify the aggregate dollar amount of what the sponsor, the company's officers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 or any of their affiliates have at risk that depends on completion of a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Include the current value of securities held, loans extended, fees due,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out-of-pocket expenses for which the sponsor, OACB's officers and directors or any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respective affiliates are awaiting reimbursement. For example, we note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a risk factor on page 112 stating that at the close of the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combination, the sponsor and OACB's executive officers and directors, and any of their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respective affiliates, will be reimbursed for out-of-pocket expenses.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clarify in your discussion of the interests of the sponsor and OACB's officers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Wessman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directors whether the sponsor and its affiliates can earn a positive rate of return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7599" w:hanging="737"/>
        <w:spacing w:after="0" w:line="26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theirNameAlvotech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investment, evenLux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Holdings S.A.S.</w:t>
      </w:r>
    </w:p>
    <w:p>
      <w:pPr>
        <w:ind w:left="358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SPAC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shareholders experience a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negative rate of return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18,post-business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 Page 2 combination company.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Wessman</w:t>
      </w:r>
    </w:p>
    <w:p>
      <w:pPr>
        <w:spacing w:after="0"/>
        <w:tabs>
          <w:tab w:leader="none" w:pos="1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LastNameRobert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Wessman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Alvotech Lux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Holdings S.A.S.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18,NameAlvotech</w:t>
      </w:r>
    </w:p>
    <w:p>
      <w:pPr>
        <w:ind w:left="12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Lux Holdings S.A.S.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18, 2022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certain affiliates of the sponsor have an ownership interest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target company. Please provide that interest as an approximate dollar value based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transaction value and recent trading prices as compared to the price paid.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OACB's articles of association waived the corporate opportunities doctrine.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this potential conflict of interest and whether it impacted your search for an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target.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and elsewhere throughout the prospectus, including on page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261, that certain shareholders agreed to waive their redemption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rights. Please describe any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provided in exchange for this agreement. Please also revise your disclosure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summarizing the background of the business combination beginning on page 143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negotiation of this agreement.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I have redemption rights, page 13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that holders of public warrants do not have redemption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with respect to such warrants in connection with the business combination. Quantify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value of warrants, based on recent trading prices, that may be retained by redeeming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assuming maximum redemptions and identify any material resulting risks.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 appears that underwriting fees remain constant and are not adjusted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redemptions. Revise your disclosure to disclose the effective underwriting fee on a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basis for shares at each redemption level presented in your sensitivity analysis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707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dilution. Risk Factors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OACB and the Business Combination, page 104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risk factor disclosure that highlights the material risks to public warrant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holders, including those arising from differences between private and public warrants.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recent common stock trading prices exceed the threshold that would allow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to redeem public warrants. Clearly explain the steps, if any, the company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take to notify all shareholders, including beneficial owners, regarding when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 become eligible for redemption.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material risks to unaffiliated investors presented by taking the company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through a merger rather than an underwritten offering. These risks could include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absence of due diligence conducted by an underwriter that would be subject to liability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material misstatements or omissions in a registration statement.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Sponsor and OACB executive officers and directors will not be eligible to be reimbursed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their out-of-pocket expenses, page 112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risk factor to more clearly state that because the sponsor will benefit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completion of a business combination and may be incentivized to complete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of a less favorable target company or on terms less favorable to shareholders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Wessman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Wessman Alvotech Lux Holdings S.A.S. Comapany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18,NameAlvotech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Lux Holdings S.A.S.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18, 2022 Page 4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rather than liquidate. Please also highlight this risk in the Summary of the Proxy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Statement/Prospectus.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Background of the Business Combination, page 143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Substantially revise the Background section to detail the negotiations concerning key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aspects of the Business Combination and related transactions, including without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limitation, the scope and valuation of the target's business,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consideration, and the structure of the transaction (including the negotiation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marketing processes for the PIPE transaction). Each proposal (preliminary or otherwise)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counterproposal concerning a material transaction term made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April 9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7 should be described and the proposing party identified. In this regard, we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 the Background section as written discusses in general terms the topical areas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discussed by the parties during the eight month negotiations and some of the final terms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mutually agreed upon but does so without any indication of how those terms evolved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the course of the discussions/negotiations.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on page 143 to describe how Alvotech was identified as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target and by whom.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Deutsche Bank Securities Inc. and Citibank Global Markets Inc. are serving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financial and capital markets advisors to you and also served as underwriters in the IPO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are eligible to receive deferred underwriting compensation. Please revise to disclose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conflicts of interest in the Summary and throughout your registration statement,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any discussions took place with the target about the potential loss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clients in the near future or other events that may materially</w:t>
      </w:r>
    </w:p>
    <w:p>
      <w:pPr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 the target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prospects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its financial projections for future performance of the business.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there were any valuations or other material information about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SPAC, the target, or the de-SPAC transaction provided to potential PIPE investors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not been disclosed publicly.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include any discussions about continuing employment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involvement for any persons affiliated with the SPAC before the merger, any formal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informal commitment to retain the financial advisors after the merger, and any pre-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existing relationships between SPAC sponsors and additional investors. Certain Engagements in Connection with the Business Combination and Related Transactions,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152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with respect to the transaction, Morgan Stanley and Credit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Suisse were engaged as financial advisors to Alvotech and Deutsche Bank was engaged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financial advisor and capital markets advisor to OACB. We also note your disclosure 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Wessman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Wessman Alvotech Lux Holdings S.A.S. Comapany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18,NameAlvotech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Lux Holdings S.A.S.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18, 2022 Page 5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144 that Citibank was also involved in discussions with the other three banks as early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May 11, 2021. Please expand your disclosure in the Background section to further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role of these financial advisors in the transaction. In particular,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when each financial advisor was engaged and the level of diligence they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performed in connection with the transaction. The Business Combination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 Public Companies, page 152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explain the basis for including each of the comparable public companies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shown or excluding any public companies.</w:t>
      </w:r>
    </w:p>
    <w:p>
      <w:pPr>
        <w:spacing w:after="0"/>
        <w:tabs>
          <w:tab w:leader="none" w:pos="940" w:val="left"/>
          <w:tab w:leader="none" w:pos="5680" w:val="left"/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how you determined Alvotech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TAM--Current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Pipeline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as based 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reports provided by Evaluate Pharma and the following Alvotech growth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as</w:t>
      </w:r>
    </w:p>
    <w:p>
      <w:pPr>
        <w:ind w:left="96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reports provided by CapIQ and Refinitiv: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2021-2025 Revenue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CAGR,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2025E</w:t>
      </w:r>
    </w:p>
    <w:p>
      <w:pPr>
        <w:ind w:left="960"/>
        <w:spacing w:after="0"/>
        <w:tabs>
          <w:tab w:leader="none" w:pos="2620" w:val="left"/>
          <w:tab w:leader="none" w:pos="3360" w:val="left"/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Margin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2025E Adj. EBITDA Margin.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If these reports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not used, explain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ind w:right="30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determined these amounts. Revise your presentation accordingly.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Unaudited Alvotech Prospective Financial Information, page 154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an analysis by year demonstrating the growth in total Alvotech revenue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$30 to $60 million for FY 2021 to an amount greater than $800 million for FY 2025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improvement in Adjusted EBITDA from ($150) million to ($200) million for 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to an amount greater than $460 million for FY 2025 and revise your presentation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 In this regard, quantify EBITDA and reconcile it to Adjusted EBITDA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 w:right="2659" w:hanging="42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each year. Also, provide us the following information. Describe and quantify the key assumptions underlying these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projections, how they were developed and the factors considered by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OACB's Board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concluding that they were reasonable.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alternative financial projections that were considered and (if any) and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for their rejection.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how these financial projections were used in your $2.3 billion valuation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Alvotech, as indicated on page 153.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a breakdown of future revenue by commercialization partner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type of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for each year during 2021-2025.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breakdown of Adjusted EBITDA by source for each year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2021-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2025.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and quantify the key factors underlying significant year-to-year changes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by partner and Adjusted EBITDA by source during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2021-2025.</w:t>
      </w:r>
    </w:p>
    <w:p>
      <w:pPr>
        <w:spacing w:after="0"/>
        <w:tabs>
          <w:tab w:leader="none" w:pos="940" w:val="left"/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list of your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strategic commercialization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partnerships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with leading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 companies, as discussed in the sixth bullet on 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156, and summarize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key terms governing each partnership. In this regard, demonstrate how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determined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future remittances under these partnerships is expected to be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average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approximately 40% of in-market sales" and provide a milestone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breakdown by partner and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Wessman</w:t>
      </w:r>
    </w:p>
    <w:p>
      <w:pPr>
        <w:spacing w:after="0"/>
        <w:tabs>
          <w:tab w:leader="none" w:pos="1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LastNameRobert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Wessman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Alvotech Lux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Holdings S.A.S.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18,NameAlvotech</w:t>
      </w:r>
    </w:p>
    <w:p>
      <w:pPr>
        <w:ind w:left="1280"/>
        <w:spacing w:after="0" w:line="237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Lux Holdings S.A.S.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 18, 2022 Page 6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year for the $150 million received to date and the $950 million to be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in the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likely impact on the future prospects of AVT02 resulting from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FDA deferral of approval, as discussed on page 230, and associated litigation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initiated by AbbVie, as discussed on pages F-125 to F-127. Revise the third bullet on page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156 accordingly.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qualitative and quantitative factors that you considered in establishing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75% or higher probability of success for your clinical and pre-clinical programs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launch of 5 products in more than 50 markets by 2025. Revise the seventh bullet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page 156 accordingly. The Business Combination Agreement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to Closing the Business Combination, page 164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which conditions are subject to waiver.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Federal Income Tax Considerations, page 176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 that the transaction "generally should qualify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an 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Reorganization" and that a U.S. Holder should not recognize any gain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loss. A tax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must be filed whenever the tax consequences of a transaction are material to 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 and a representation as to tax consequences is set forth in the filing. Please file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opinion as an exhibit to the filing or provide us your analysis as to why you do not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such an opinion is required. Refer to Item 601(b)(8) of Regulation S-K and, for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guidance, Section III.A.2 of Staff Legal Bulletin No. 19.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also refer to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Sections III.C.3 and 4 of Staff Legal Bulletin No. 19 concerning assumptions and opinions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uncertainty. In this regard, we note the disclosure that the transaction "generally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qualify as an F Reorganization." If there is uncertainty regarding the tax treatment,</w:t>
      </w:r>
    </w:p>
    <w:p>
      <w:pPr>
        <w:ind w:left="96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</w:t>
        <w:tab/>
        <w:t>s opinion should discuss the degree of uncertainty.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 Alvotech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 Party Suppliers and Manufacturers, page 201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include a description of the sources and availability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raw materials, including a description of whether prices of principal raw materials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volatile. Refer to Item 4.B.4. of Form 20-F. Commercial partnerships, page 202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concerning your principal partners and partnerships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region. Please expand your disclosure to discuss the agreements in place with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partners, including all material provisions such as payment provisions, royalty provisions,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 and termination provisions. To the extent you are substantially dependent on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agreement, file the agreement as an exhibit. Alternatively, provide an analysis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Wessman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Wessman Alvotech Lux Holdings S.A.S. Comapany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18,NameAlvotech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Lux Holdings S.A.S.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 18, 2022 Page 7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supporting your determination the agreements are not required to be filed pursuant to Item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601(b)(10)(B)(ii) 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pages 149 and 197 that you also have a strategic commercial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partnership with Yangzte River Pharmaceutical Group in China. To the extent that this is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partnership to your business, please discuss any agreement you have in place,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all material provisions such as payment provisions, royalty provisions, term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termination provisions. Please also file the agreement as an exhibit or explain to us why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not required to be filed. Our Pipeline, page 204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here to include the material assumptions underlying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estimate for each of your seven programs as shown in the graphic on page 205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risks associated with these assumptions. Please also provide your materiality analysis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why you have included your undisclosed programs, AVT16 and AVT33, as part of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overall market estimate, given their early phase development. Our Programs, page 205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discussion of the preclinical and clinical development of your material programs,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specify the following information with respect to the trials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that you have conducted, are currently conducting or plan to conduct: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indication;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6" w:name="page7"/>
    <w:bookmarkEnd w:id="6"/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number of participants in the trial;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primary and secondary endpoints as well as the results as they relate to those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endpoints;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statistical analysis performed; and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occurrence of any serious adverse events.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AVT02, our high-concentration biosimilar to Humira, page 206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this graphic such that all text, including that contained in the legend,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clearly legible.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Agreements, Partnerships and Suppliers, page 208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discussion of your various licensing, development and supply agreements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STADA and Teva. We also note your disclosure beginning on page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concerning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various agreements you have in place with Alvogen and Adalvo, Lotus Pharmaceuticals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Fuji Pharma. Please expand your disclosure to ensure that you describe the material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each agreement including, as applicable: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700"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nature and scope of any intellectual property transferred; each parties' rights and obligations;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quantification of all up-front or execution payments received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8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or paid to date;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Wessman</w:t>
      </w:r>
    </w:p>
    <w:p>
      <w:pPr>
        <w:spacing w:after="0"/>
        <w:tabs>
          <w:tab w:leader="none" w:pos="1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LastNameRobert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Wessman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Alvotech Lux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Holdings S.A.S.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18,NameAlvotech</w:t>
      </w:r>
    </w:p>
    <w:p>
      <w:pPr>
        <w:ind w:left="12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Lux Holdings S.A.S.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8 18, 2022 Page 8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700" w:right="18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aggregate amounts paid or received to date under the agreement; aggregate amounts of all potential development, regulatory and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milestone payments;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9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quantification of the royalty rate, or a range no greater than 10 percentage points per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tier;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the duration of the agreement and when royalty provisions expire; and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termination provisions.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you are substantially dependent on any agreement, file the agreement as 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exhibit. Alternatively, provide an analysis supporting your determination the agreements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not required to be filed pursuant to Item 601(b)(10)(B)(ii) of Regulation S-K.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 Joint Venture, page 209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as well as in a risk factor on page 64 concerning your joint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venture in China with Changchun High &amp; New Technology Industries (Group) Inc.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 here to discuss the joint venture agreement in greater detail,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providing all material provisions such as each party's rights and obligations, payment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provisions, royalty provisions, term and termination provisions. To the extent you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substantially dependent on this agreement, file the agreement as an exhibit. Alternatively,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an analysis supporting your determination the agreements are not required to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pursuant to Item 601(b)(10)(B)(ii) of Regulation S-K. Intellectual Property, page 210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provide a description of your patent portfolio.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material patent and patent application, please disclose the specific product(s)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such patent or patent application relates, whether the patents are owned or licensed,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type of patent protection, the expiration dates, and applicable material jurisdictions,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any foreign jurisdiction.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Facilities, page 221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here to include a description of the size and uses of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as well as each property's productive capacity and extent of utilization.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describe any environmental issues that may affect the company's utilization of these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assets. Refer to Item 4.D. of Form 20-F.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Alvotech Managements Discussion and Analysis of Financial Condition and Results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expenses, page 240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your research and development expenses by product candidate for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presented. To the extent that you do not track expenses by product candidate,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as such, and provide a breakdown by nature of type of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855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expense. Robert Wessman</w:t>
      </w:r>
    </w:p>
    <w:p>
      <w:pPr>
        <w:ind w:right="65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Wessman Alvotech Lux Holdings S.A.S. Comapany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18,NameAlvotech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Lux Holdings S.A.S.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9 18, 2022 Page 9 FirstName LastName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35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Alvotech Relationships and Related Person Transactions Shareholder Convertible Loans, page 255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discussion of the various loan and financing agreements that you have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place. Please update your discussion of these various agreements to include additional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regarding the basic terms of these agreement including tranches (if any),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restrictive covenants on the conduct of your business (if any), the interest rate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maturity of the loan granted pursuant to the agreement and termination provisions.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file the agreements as exhibits or, alternatively, please explain why this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the filing of the agreements are not required. Management of Topco after the Business Combination, page 282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any person referred to here was selected as a director or member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management pursuant to any arrangement or understanding with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shareholders, customers, suppliers or others. Refer to Item 6.A.5. of Form 20-F.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Ownership of Securities, page 310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natural person or persons who exercise voting and/or dispositive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with respect to the securities owned by the entities listed in the table.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 w:firstLine="8"/>
        <w:spacing w:after="0" w:line="235" w:lineRule="auto"/>
        <w:tabs>
          <w:tab w:leader="none" w:pos="316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and other income Out-license agreements, page F-79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1819" w:hanging="952"/>
        <w:spacing w:after="0" w:line="268" w:lineRule="auto"/>
        <w:tabs>
          <w:tab w:leader="none" w:pos="96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expand your disclosure to separately quantify upfront payments, milestone payments by type (e.g. development and regulatory) and the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 sharing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range for each out-licensing agreement. Also, explain why your agreements with Fuji,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discussed on page 254, were omitted from this disclosure and explain how this out-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licensing activity is consistent with your statement on page F-82 that "the increase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forecasted profit as per the 2020 ten-year forecast (was) largely driven by a significant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new contracts with customers that were executed in 2020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known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milestone payments due at fixed times over the next ten years." In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regard, explain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terms governing these new contracts with your customers, particularly the nature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fixed timing for the associated milestone payments.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Wessman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Alvotech Lux Holdings S.A.S.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10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Franklin Wyman at (202) 551-3660 or Vanessa Robertson at (202) 551-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3649 if you have questions regarding comments on the financial statements and related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Jessica Ansart at (202) 551-4511 or Jeffrey Gabor at (202) 551-2544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Wessman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NameAlvotech Lux Holdings S.A.S.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 2022 Page 10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Nicolas Dumont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DB127F8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16231B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F16E9E8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1190CDE7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66EF438D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140E0F76"/>
    <w:multiLevelType w:val="hybridMultilevel"/>
    <w:lvl w:ilvl="0">
      <w:lvlJc w:val="left"/>
      <w:lvlText w:val="%1."/>
      <w:numFmt w:val="decimal"/>
      <w:start w:val="17"/>
    </w:lvl>
  </w:abstractNum>
  <w:abstractNum w:abstractNumId="6">
    <w:nsid w:val="3352255A"/>
    <w:multiLevelType w:val="hybridMultilevel"/>
    <w:lvl w:ilvl="0">
      <w:lvlJc w:val="left"/>
      <w:lvlText w:val="%1."/>
      <w:numFmt w:val="decimal"/>
      <w:start w:val="20"/>
    </w:lvl>
  </w:abstractNum>
  <w:abstractNum w:abstractNumId="7">
    <w:nsid w:val="109CF92E"/>
    <w:multiLevelType w:val="hybridMultilevel"/>
    <w:lvl w:ilvl="0">
      <w:lvlJc w:val="left"/>
      <w:lvlText w:val="%1."/>
      <w:numFmt w:val="decimal"/>
      <w:start w:val="25"/>
    </w:lvl>
  </w:abstractNum>
  <w:abstractNum w:abstractNumId="8">
    <w:nsid w:val="DED7263"/>
    <w:multiLevelType w:val="hybridMultilevel"/>
    <w:lvl w:ilvl="0">
      <w:lvlJc w:val="left"/>
      <w:lvlText w:val="%1."/>
      <w:numFmt w:val="decimal"/>
      <w:start w:val="27"/>
    </w:lvl>
  </w:abstractNum>
  <w:abstractNum w:abstractNumId="9">
    <w:nsid w:val="7FDCC233"/>
    <w:multiLevelType w:val="hybridMultilevel"/>
    <w:lvl w:ilvl="0">
      <w:lvlJc w:val="left"/>
      <w:lvlText w:val="%1."/>
      <w:numFmt w:val="decimal"/>
      <w:start w:val="30"/>
    </w:lvl>
  </w:abstractNum>
  <w:abstractNum w:abstractNumId="10">
    <w:nsid w:val="1BEFD79F"/>
    <w:multiLevelType w:val="hybridMultilevel"/>
    <w:lvl w:ilvl="0">
      <w:lvlJc w:val="left"/>
      <w:lvlText w:val="%1."/>
      <w:numFmt w:val="decimal"/>
      <w:start w:val="31"/>
    </w:lvl>
  </w:abstractNum>
  <w:abstractNum w:abstractNumId="11">
    <w:nsid w:val="41A7C4C9"/>
    <w:multiLevelType w:val="hybridMultilevel"/>
    <w:lvl w:ilvl="0">
      <w:lvlJc w:val="left"/>
      <w:lvlText w:val="%1."/>
      <w:numFmt w:val="decimal"/>
      <w:start w:val="36"/>
    </w:lvl>
  </w:abstractNum>
  <w:abstractNum w:abstractNumId="12">
    <w:nsid w:val="6B68079A"/>
    <w:multiLevelType w:val="hybridMultilevel"/>
    <w:lvl w:ilvl="0">
      <w:lvlJc w:val="left"/>
      <w:lvlText w:val="%1"/>
      <w:numFmt w:val="decimal"/>
      <w:start w:val="253"/>
    </w:lvl>
  </w:abstractNum>
  <w:abstractNum w:abstractNumId="13">
    <w:nsid w:val="4E6AFB66"/>
    <w:multiLevelType w:val="hybridMultilevel"/>
    <w:lvl w:ilvl="0">
      <w:lvlJc w:val="left"/>
      <w:lvlText w:val="%1."/>
      <w:numFmt w:val="decimal"/>
      <w:start w:val="38"/>
    </w:lvl>
  </w:abstractNum>
  <w:abstractNum w:abstractNumId="14">
    <w:nsid w:val="25E45D32"/>
    <w:multiLevelType w:val="hybridMultilevel"/>
    <w:lvl w:ilvl="0">
      <w:lvlJc w:val="left"/>
      <w:lvlText w:val="%1."/>
      <w:numFmt w:val="decimal"/>
      <w:start w:val="40"/>
    </w:lvl>
  </w:abstractNum>
  <w:abstractNum w:abstractNumId="15">
    <w:nsid w:val="519B500D"/>
    <w:multiLevelType w:val="hybridMultilevel"/>
    <w:lvl w:ilvl="0">
      <w:lvlJc w:val="left"/>
      <w:lvlText w:val="%1."/>
      <w:numFmt w:val="decimal"/>
      <w:start w:val="42"/>
    </w:lvl>
  </w:abstractNum>
  <w:abstractNum w:abstractNumId="16">
    <w:nsid w:val="431BD7B7"/>
    <w:multiLevelType w:val="hybridMultilevel"/>
    <w:lvl w:ilvl="0">
      <w:lvlJc w:val="left"/>
      <w:lvlText w:val="%1."/>
      <w:numFmt w:val="decimal"/>
      <w:start w:val="5"/>
    </w:lvl>
  </w:abstractNum>
  <w:abstractNum w:abstractNumId="17">
    <w:nsid w:val="3F2DBA31"/>
    <w:multiLevelType w:val="hybridMultilevel"/>
    <w:lvl w:ilvl="0">
      <w:lvlJc w:val="left"/>
      <w:lvlText w:val="%1."/>
      <w:numFmt w:val="decimal"/>
      <w:start w:val="45"/>
    </w:lvl>
  </w:abstractNum>
  <w:abstractNum w:abstractNumId="18">
    <w:nsid w:val="7C83E458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2022-06-21T23:14:57Z</dcterms:created>
  <dcterms:modified xsi:type="dcterms:W3CDTF">2022-06-21T23:14:57Z</dcterms:modified>
</cp:coreProperties>
</file>