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152400</wp:posOffset>
            </wp:positionV>
            <wp:extent cx="7143115"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2349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191770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42" w:lineRule="exact"/>
        <w:rPr>
          <w:sz w:val="24"/>
          <w:szCs w:val="24"/>
          <w:color w:val="auto"/>
        </w:rPr>
      </w:pPr>
    </w:p>
    <w:p>
      <w:pPr>
        <w:jc w:val="center"/>
        <w:ind w:left="360"/>
        <w:spacing w:after="0" w:line="269"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3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For the month of March 2026</w:t>
      </w:r>
    </w:p>
    <w:p>
      <w:pPr>
        <w:spacing w:after="0" w:line="19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001-41421</w:t>
      </w:r>
    </w:p>
    <w:p>
      <w:pPr>
        <w:spacing w:after="0" w:line="194"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Alvotech</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(Translation of registrant's name into English)</w:t>
      </w:r>
    </w:p>
    <w:p>
      <w:pPr>
        <w:spacing w:after="0" w:line="1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9, Rue de Bitbourg,</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L-1273 Luxembourg,</w:t>
      </w:r>
    </w:p>
    <w:p>
      <w:pPr>
        <w:jc w:val="center"/>
        <w:ind w:right="-39"/>
        <w:spacing w:after="0" w:line="233" w:lineRule="auto"/>
        <w:rPr>
          <w:sz w:val="20"/>
          <w:szCs w:val="20"/>
          <w:color w:val="auto"/>
        </w:rPr>
      </w:pPr>
      <w:r>
        <w:rPr>
          <w:rFonts w:ascii="Times New Roman" w:cs="Times New Roman" w:eastAsia="Times New Roman" w:hAnsi="Times New Roman"/>
          <w:sz w:val="20"/>
          <w:szCs w:val="20"/>
          <w:b w:val="1"/>
          <w:bCs w:val="1"/>
          <w:color w:val="auto"/>
        </w:rPr>
        <w:t>Grand Duchy of Luxembourg</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(Address of principal executive office)</w:t>
      </w:r>
    </w:p>
    <w:p>
      <w:pPr>
        <w:spacing w:after="0" w:line="172" w:lineRule="exact"/>
        <w:rPr>
          <w:sz w:val="24"/>
          <w:szCs w:val="24"/>
          <w:color w:val="auto"/>
        </w:rPr>
      </w:pPr>
    </w:p>
    <w:p>
      <w:pPr>
        <w:ind w:right="1800"/>
        <w:spacing w:after="0" w:line="264" w:lineRule="auto"/>
        <w:rPr>
          <w:sz w:val="20"/>
          <w:szCs w:val="20"/>
          <w:color w:val="auto"/>
        </w:rPr>
      </w:pPr>
      <w:r>
        <w:rPr>
          <w:rFonts w:ascii="Times New Roman" w:cs="Times New Roman" w:eastAsia="Times New Roman" w:hAnsi="Times New Roman"/>
          <w:sz w:val="20"/>
          <w:szCs w:val="20"/>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786130</wp:posOffset>
            </wp:positionV>
            <wp:extent cx="714311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198"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This Report on Form 6-K (this “Report”) of Alvotech (the “Company”) excluding Exhibits 99.1, 99.2 and 99.3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w:t>
      </w:r>
    </w:p>
    <w:p>
      <w:pPr>
        <w:spacing w:after="0" w:line="16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Exhibits 99.1, 99.2 and 99.3 to this Report are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Press Release</w:t>
      </w:r>
    </w:p>
    <w:p>
      <w:pPr>
        <w:spacing w:after="0" w:line="1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auto"/>
        </w:rPr>
        <w:t>On March 18, 2026, Alvotech issued a Press Release announcing the Financial Results and Business Update for Q4 2025 and the full year. A copy of the Press Release is furnished herewith as Exhibit 99.1.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Report and Presentation</w:t>
      </w:r>
    </w:p>
    <w:p>
      <w:pPr>
        <w:spacing w:after="0" w:line="19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On March 18, 2026, Alvotech made public a more detailed earnings report with Financial Results and Business Update for Q4 2025 and the full year. A copy is furnished herewith as Exhibit 99.2. The Company also made public its Earnings Call Presentation. A copy is furnished herewith as 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827405</wp:posOffset>
            </wp:positionV>
            <wp:extent cx="714311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39370"/>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6"/>
              </w:rPr>
              <w:t>Exhibit Number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379"/>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7"/>
              </w:rPr>
              <w:t>Press Release dated March 18, 2026</w:t>
            </w:r>
          </w:p>
        </w:tc>
        <w:tc>
          <w:tcPr>
            <w:tcW w:w="7420" w:type="dxa"/>
            <w:vAlign w:val="bottom"/>
          </w:tcPr>
          <w:p>
            <w:pPr>
              <w:spacing w:after="0"/>
              <w:rPr>
                <w:sz w:val="24"/>
                <w:szCs w:val="24"/>
                <w:color w:val="auto"/>
              </w:rPr>
            </w:pPr>
          </w:p>
        </w:tc>
      </w:tr>
      <w:tr>
        <w:trPr>
          <w:trHeight w:val="379"/>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7"/>
              </w:rPr>
              <w:t>Earnings Report</w:t>
            </w:r>
          </w:p>
        </w:tc>
        <w:tc>
          <w:tcPr>
            <w:tcW w:w="8740" w:type="dxa"/>
            <w:vAlign w:val="bottom"/>
            <w:gridSpan w:val="3"/>
          </w:tcPr>
          <w:p>
            <w:pPr>
              <w:spacing w:after="0"/>
              <w:rPr>
                <w:sz w:val="24"/>
                <w:szCs w:val="24"/>
                <w:color w:val="auto"/>
              </w:rPr>
            </w:pPr>
          </w:p>
        </w:tc>
      </w:tr>
      <w:tr>
        <w:trPr>
          <w:trHeight w:val="379"/>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3</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0000EE"/>
              </w:rPr>
              <w:t>Earnings Call Presentation</w:t>
            </w:r>
          </w:p>
        </w:tc>
      </w:tr>
      <w:tr>
        <w:trPr>
          <w:trHeight w:val="1089"/>
        </w:trPr>
        <w:tc>
          <w:tcPr>
            <w:tcW w:w="30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62"/>
        </w:trPr>
        <w:tc>
          <w:tcPr>
            <w:tcW w:w="3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74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42"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Alvotech</w:t>
            </w:r>
          </w:p>
        </w:tc>
        <w:tc>
          <w:tcPr>
            <w:tcW w:w="260" w:type="dxa"/>
            <w:vAlign w:val="bottom"/>
          </w:tcPr>
          <w:p>
            <w:pPr>
              <w:spacing w:after="0"/>
              <w:rPr>
                <w:sz w:val="17"/>
                <w:szCs w:val="17"/>
                <w:color w:val="auto"/>
              </w:rPr>
            </w:pPr>
          </w:p>
        </w:tc>
      </w:tr>
      <w:tr>
        <w:trPr>
          <w:trHeight w:val="217"/>
        </w:trPr>
        <w:tc>
          <w:tcPr>
            <w:tcW w:w="7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5"/>
              </w:rPr>
              <w:t>(Registrant)</w:t>
            </w:r>
          </w:p>
        </w:tc>
      </w:tr>
      <w:tr>
        <w:trPr>
          <w:trHeight w:val="560"/>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Date: March 19, 2026</w:t>
            </w:r>
          </w:p>
        </w:tc>
        <w:tc>
          <w:tcPr>
            <w:tcW w:w="14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/s/ Tanya Zharov</w:t>
            </w:r>
          </w:p>
        </w:tc>
      </w:tr>
      <w:tr>
        <w:trPr>
          <w:trHeight w:val="200"/>
        </w:trPr>
        <w:tc>
          <w:tcPr>
            <w:tcW w:w="7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5"/>
              </w:rPr>
              <w:t>Tanya Zharov</w:t>
            </w:r>
          </w:p>
        </w:tc>
      </w:tr>
      <w:tr>
        <w:trPr>
          <w:trHeight w:val="216"/>
        </w:trPr>
        <w:tc>
          <w:tcPr>
            <w:tcW w:w="788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6"/>
              </w:rPr>
              <w:t>General Counsel</w:t>
            </w:r>
          </w:p>
        </w:tc>
      </w:tr>
    </w:tbl>
    <w:p>
      <w:pPr>
        <w:sectPr>
          <w:pgSz w:w="11900" w:h="16838" w:orient="portrait"/>
          <w:cols w:equalWidth="0" w:num="1">
            <w:col w:w="11080"/>
          </w:cols>
          <w:pgMar w:left="320" w:top="634"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Alvotech Q4 2025 and Full Year 2025 Financial Results</w:t>
      </w:r>
    </w:p>
    <w:p>
      <w:pPr>
        <w:spacing w:after="0" w:line="165" w:lineRule="exact"/>
        <w:rPr>
          <w:sz w:val="20"/>
          <w:szCs w:val="20"/>
          <w:color w:val="auto"/>
        </w:rPr>
      </w:pPr>
    </w:p>
    <w:p>
      <w:pPr>
        <w:ind w:right="280"/>
        <w:spacing w:after="0" w:line="258" w:lineRule="exact"/>
        <w:rPr>
          <w:sz w:val="20"/>
          <w:szCs w:val="20"/>
          <w:color w:val="auto"/>
        </w:rPr>
      </w:pPr>
      <w:r>
        <w:rPr>
          <w:rFonts w:ascii="Times New Roman" w:cs="Times New Roman" w:eastAsia="Times New Roman" w:hAnsi="Times New Roman"/>
          <w:sz w:val="20"/>
          <w:szCs w:val="20"/>
          <w:b w:val="1"/>
          <w:bCs w:val="1"/>
          <w:color w:val="auto"/>
        </w:rPr>
        <w:t>A supplemental long</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form earnings release providing additional operational details and business update for Q4 2025 and the full year is available at: https://investors.alvotech.com/earnings-calendar The supplemental document is provided solely for reference and is not part of this SEC Form 6</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K. The Form 6</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K should not be read together with, or construed as referring to, the supplemental long</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form release.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Highlights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Q4 2025 Highlights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Total revenues</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were $173 million, up 13% Year-on-Year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-155575</wp:posOffset>
            </wp:positionV>
            <wp:extent cx="64770" cy="64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ind w:left="500"/>
        <w:spacing w:after="0" w:line="230" w:lineRule="auto"/>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was $69 million with Gross Margin at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-149225</wp:posOffset>
            </wp:positionV>
            <wp:extent cx="64770" cy="64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0"/>
          <w:szCs w:val="20"/>
          <w:color w:val="auto"/>
        </w:rPr>
        <w:t>AVT05 was approved as a biosimilar to Simponi® in the UK and European Economic Area (EEA)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-90170</wp:posOffset>
            </wp:positionV>
            <wp:extent cx="64770" cy="64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AVT03 was approved as a biosimilar to Prolia® and Xgeva® in the EEA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-86995</wp:posOffset>
            </wp:positionV>
            <wp:extent cx="64770" cy="64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EMA accepted for review a marketing application for AVT23, referencing Xolair®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-86995</wp:posOffset>
            </wp:positionV>
            <wp:extent cx="64770" cy="64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74" w:lineRule="exact"/>
        <w:rPr>
          <w:sz w:val="20"/>
          <w:szCs w:val="20"/>
          <w:color w:val="auto"/>
        </w:rPr>
      </w:pPr>
    </w:p>
    <w:p>
      <w:pPr>
        <w:ind w:left="500" w:right="780"/>
        <w:spacing w:after="0" w:line="264" w:lineRule="auto"/>
        <w:rPr>
          <w:sz w:val="20"/>
          <w:szCs w:val="20"/>
          <w:color w:val="auto"/>
        </w:rPr>
      </w:pPr>
      <w:r>
        <w:rPr>
          <w:rFonts w:ascii="Times New Roman" w:cs="Times New Roman" w:eastAsia="Times New Roman" w:hAnsi="Times New Roman"/>
          <w:sz w:val="20"/>
          <w:szCs w:val="20"/>
          <w:color w:val="auto"/>
        </w:rPr>
        <w:t>After the end of the quarter, Alvotech entered into supply and commercialization agreements with Sandoz, covering multiple biosimilars candidates in Canada, Australia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-262255</wp:posOffset>
            </wp:positionV>
            <wp:extent cx="64770" cy="64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FY 2025 Highlights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Total revenues</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were $593 million, up 21%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-155575</wp:posOffset>
            </wp:positionV>
            <wp:extent cx="64770" cy="64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ind w:left="500" w:right="4400"/>
        <w:spacing w:after="0" w:line="238" w:lineRule="auto"/>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0"/>
          <w:szCs w:val="20"/>
          <w:color w:val="auto"/>
        </w:rPr>
        <w:t xml:space="preserve"> was $137 million, up 27% YoY, with Gross Margin at 61% The cash balance on December 31, 2025, was $172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-309880</wp:posOffset>
            </wp:positionV>
            <wp:extent cx="64770" cy="64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70" cy="64770"/>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-104140</wp:posOffset>
            </wp:positionV>
            <wp:extent cx="64770" cy="64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47" w:lineRule="exact"/>
        <w:rPr>
          <w:sz w:val="20"/>
          <w:szCs w:val="20"/>
          <w:color w:val="auto"/>
        </w:rPr>
      </w:pPr>
    </w:p>
    <w:p>
      <w:pPr>
        <w:ind w:left="500" w:right="2780"/>
        <w:spacing w:after="0" w:line="337" w:lineRule="auto"/>
        <w:rPr>
          <w:sz w:val="20"/>
          <w:szCs w:val="20"/>
          <w:color w:val="auto"/>
        </w:rPr>
      </w:pPr>
      <w:r>
        <w:rPr>
          <w:rFonts w:ascii="Times New Roman" w:cs="Times New Roman" w:eastAsia="Times New Roman" w:hAnsi="Times New Roman"/>
          <w:sz w:val="20"/>
          <w:szCs w:val="20"/>
          <w:color w:val="auto"/>
        </w:rPr>
        <w:t>Second biosimilar in the US, Selarsdi™ referencing Stelara® launched by commercial partner Teva Three new biosimilars were approved in multiple markets, including the UK, EEA and Japan Alvotech acquired Xbrane’s R&amp;D organization in Sweden and Ivers-Lee Group in Switzerland The company listed its shares on Nasdaq Stockholm and raised new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-760730</wp:posOffset>
            </wp:positionV>
            <wp:extent cx="64770" cy="64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70" cy="64770"/>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-554990</wp:posOffset>
            </wp:positionV>
            <wp:extent cx="64770" cy="64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770" cy="64770"/>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-349885</wp:posOffset>
            </wp:positionV>
            <wp:extent cx="64770" cy="64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770" cy="64770"/>
                    </a:xfrm>
                    <a:prstGeom prst="rect">
                      <a:avLst/>
                    </a:prstGeom>
                    <a:noFill/>
                  </pic:spPr>
                </pic:pic>
              </a:graphicData>
            </a:graphic>
          </wp:anchor>
        </w:drawing>
        <w:drawing>
          <wp:anchor simplePos="0" relativeHeight="251657728" behindDoc="1" locked="0" layoutInCell="0" allowOverlap="1">
            <wp:simplePos x="0" y="0"/>
            <wp:positionH relativeFrom="column">
              <wp:posOffset>177165</wp:posOffset>
            </wp:positionH>
            <wp:positionV relativeFrom="paragraph">
              <wp:posOffset>-144145</wp:posOffset>
            </wp:positionV>
            <wp:extent cx="64770" cy="64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ind w:left="500" w:right="400"/>
        <w:spacing w:after="0" w:line="249" w:lineRule="auto"/>
        <w:rPr>
          <w:sz w:val="20"/>
          <w:szCs w:val="20"/>
          <w:color w:val="auto"/>
        </w:rPr>
      </w:pPr>
      <w:r>
        <w:rPr>
          <w:rFonts w:ascii="Times New Roman" w:cs="Times New Roman" w:eastAsia="Times New Roman" w:hAnsi="Times New Roman"/>
          <w:sz w:val="20"/>
          <w:szCs w:val="20"/>
          <w:color w:val="auto"/>
        </w:rPr>
        <w:t>Linda Jonsdottir was appointed Chief Financial Officer, Dr. Balaji V. Prasad was appointed Chief Strategy Officer, while Joseph McClellan transitioned into the role of Chief Operating Officer and Anthony Maffia into the role of Chief Regulatory and Quality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-394970</wp:posOffset>
            </wp:positionV>
            <wp:extent cx="64770" cy="64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770" cy="6477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Comments by Chairman of the Board and Outgoing CEO, Róbert Wessman:</w:t>
      </w:r>
    </w:p>
    <w:p>
      <w:pPr>
        <w:spacing w:after="0" w:line="19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0"/>
          <w:szCs w:val="20"/>
          <w:i w:val="1"/>
          <w:iCs w:val="1"/>
          <w:color w:val="auto"/>
        </w:rPr>
        <w:t>“Last year we continued to expand our dedicated end-to-end biosimilars platform, advancing our pipeline with the launches of three newly approved biosimilars, expanding our R&amp;D operation and adding a centralized assembly and packaging unit through acquisitions, while also strengthening our global network through new commercial partnerships.</w:t>
      </w:r>
    </w:p>
    <w:p>
      <w:pPr>
        <w:spacing w:after="0" w:line="150"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20"/>
          <w:szCs w:val="20"/>
          <w:i w:val="1"/>
          <w:iCs w:val="1"/>
          <w:color w:val="auto"/>
        </w:rPr>
        <w:t>“We now have five approved and on-market biosimilars supported by our global partners which provide Alvotech with commercial reach into 90 countries worldwide. We have an industry leading pipeline of 30 biosimilars in development and continue adding to it at an accelerated pace.</w:t>
      </w:r>
    </w:p>
    <w:p>
      <w:pPr>
        <w:spacing w:after="0" w:line="150"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20"/>
          <w:szCs w:val="20"/>
          <w:i w:val="1"/>
          <w:iCs w:val="1"/>
          <w:color w:val="auto"/>
        </w:rPr>
        <w:t>“During the year we further strengthened our financial position, raising close to $300 million from capital markets to support continued investment in our development programs and manufacturing platform. We broadened our investor base through the listing of shares on Nasdaq Stockholm, providing better access to Nordic and European investors.</w:t>
      </w:r>
    </w:p>
    <w:p>
      <w:pPr>
        <w:spacing w:after="0" w:line="15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i w:val="1"/>
          <w:iCs w:val="1"/>
          <w:color w:val="auto"/>
        </w:rPr>
        <w:t>“At the same time, we addressed the regulatory observations following the FDA inspection of our Reykjavik manufacturing facility and we implemented a comprehensive improvement program. Based on the progress made so far, we expect to resubmit the affected applications to the FDA during the second quarter of 2026. We have addressed regulatory observations before, and we know how to resolve them. Our focus has been on strengthening the operational platform so that we can continue to scale the business globally.</w:t>
      </w:r>
    </w:p>
    <w:p>
      <w:pPr>
        <w:spacing w:after="0" w:line="157"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i w:val="1"/>
          <w:iCs w:val="1"/>
          <w:color w:val="auto"/>
        </w:rPr>
        <w:t>“We have strengthened the leadership team, with Lisa Graver’s appointment as Chief Executive Officer, and all the key management of the company is now located onsite in Iceland. Lisa and I have worked together for over twenty years, and she is ideally positioned to lead the company through this next stage. She knows the company very well, having been a board member since 2022, which gives her a deep understanding of our strategy, our platform and our global partnerships.</w:t>
      </w:r>
    </w:p>
    <w:p>
      <w:pPr>
        <w:spacing w:after="0" w:line="15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i w:val="1"/>
          <w:iCs w:val="1"/>
          <w:color w:val="auto"/>
        </w:rPr>
        <w:t>“As Executive Chairman of the Board I will continue to be actively engaged in the business, and I am looking forward working closely with Lisa and the leadership team as we continue building Alvotech into a leading biosimilars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 for 2026</w:t>
      </w:r>
    </w:p>
    <w:p>
      <w:pPr>
        <w:spacing w:after="0" w:line="198"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Management reaffirms its outlook for 2026. With continued focus on robust cash flow and margin expansion by delivering solid sales growth and driving operational efficiencies across the company, management anticipates total revenues in the range of $650-700 million in 2026, reflecting continued double-digit sales growth. Adjusted EBITDA is expected to increase to $180-220 million, supported by higher volumes of commercialized products and launches of newly approved products in Europe, the UK and Japan.</w:t>
      </w:r>
    </w:p>
    <w:p>
      <w:pPr>
        <w:sectPr>
          <w:pgSz w:w="11900" w:h="16838" w:orient="portrait"/>
          <w:cols w:equalWidth="0" w:num="1">
            <w:col w:w="11240"/>
          </w:cols>
          <w:pgMar w:left="320" w:top="110" w:right="339" w:bottom="64" w:gutter="0" w:footer="0" w:header="0"/>
        </w:sectPr>
      </w:pPr>
    </w:p>
    <w:bookmarkStart w:id="5" w:name="page6"/>
    <w:bookmarkEnd w:id="5"/>
    <w:p>
      <w:pPr>
        <w:ind w:right="260"/>
        <w:spacing w:after="0" w:line="249" w:lineRule="auto"/>
        <w:rPr>
          <w:sz w:val="20"/>
          <w:szCs w:val="20"/>
          <w:color w:val="auto"/>
        </w:rPr>
      </w:pPr>
      <w:r>
        <w:rPr>
          <w:rFonts w:ascii="Times New Roman" w:cs="Times New Roman" w:eastAsia="Times New Roman" w:hAnsi="Times New Roman"/>
          <w:sz w:val="20"/>
          <w:szCs w:val="20"/>
          <w:color w:val="auto"/>
        </w:rPr>
        <w:t>Alvotech anticipates receiving U.S. approval by late 2026 for four Biologics License Applications from the U.S. Food and Drug Administration, with minimal impact on the topline. The lower end of the revenue range assumes no revenues from new launches into the U.S. market in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Invitation to Q4 2025 and Full Year 2025 management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Join us to listen to the live audio webcast at 8:00 AM EST (12:00 GMT, 13:00 CET) on Thursday, March 19,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audio webcast will be accessible via the following link:</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https://edge.media-server.com/mmc/p/u2p8ged8/</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participate via telephone in the Q&amp;A session, please register using this link to obtain your PIN: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https://register-conf.media-server.com/register/BI1c565f9bbee94c928c676ea73f178077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Presentation slides for the webcast and other materials are available on the company’s website: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https://investors.alvotech.com/earnings-calendar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further information, please contact: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 alvotech.media@alvotech.com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Benedikt Stefansson</w:t>
      </w:r>
    </w:p>
    <w:p>
      <w:pPr>
        <w:spacing w:after="0"/>
        <w:rPr>
          <w:sz w:val="20"/>
          <w:szCs w:val="20"/>
          <w:color w:val="auto"/>
        </w:rPr>
      </w:pPr>
      <w:r>
        <w:rPr>
          <w:rFonts w:ascii="Times New Roman" w:cs="Times New Roman" w:eastAsia="Times New Roman" w:hAnsi="Times New Roman"/>
          <w:sz w:val="20"/>
          <w:szCs w:val="20"/>
          <w:color w:val="auto"/>
        </w:rPr>
        <w:t>Sarah MacLeod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 - alvotech.ir@alvotech.com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Balaji V Prasad (US)</w:t>
      </w:r>
    </w:p>
    <w:p>
      <w:pPr>
        <w:spacing w:after="0" w:line="233" w:lineRule="auto"/>
        <w:rPr>
          <w:sz w:val="20"/>
          <w:szCs w:val="20"/>
          <w:color w:val="auto"/>
        </w:rPr>
      </w:pPr>
      <w:r>
        <w:rPr>
          <w:rFonts w:ascii="Times New Roman" w:cs="Times New Roman" w:eastAsia="Times New Roman" w:hAnsi="Times New Roman"/>
          <w:sz w:val="20"/>
          <w:szCs w:val="20"/>
          <w:color w:val="auto"/>
        </w:rPr>
        <w:t>Patrik Ling (SE)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Benedikt Stefansson (IS)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information was submitted for publication through the agency of the contact persons.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calendar:</w:t>
      </w:r>
    </w:p>
    <w:p>
      <w:pPr>
        <w:spacing w:after="0" w:line="198" w:lineRule="exact"/>
        <w:rPr>
          <w:sz w:val="20"/>
          <w:szCs w:val="20"/>
          <w:color w:val="auto"/>
        </w:rPr>
      </w:pPr>
    </w:p>
    <w:p>
      <w:pPr>
        <w:ind w:right="600"/>
        <w:spacing w:after="0" w:line="264" w:lineRule="auto"/>
        <w:rPr>
          <w:sz w:val="20"/>
          <w:szCs w:val="20"/>
          <w:color w:val="auto"/>
        </w:rPr>
      </w:pPr>
      <w:r>
        <w:rPr>
          <w:rFonts w:ascii="Times New Roman" w:cs="Times New Roman" w:eastAsia="Times New Roman" w:hAnsi="Times New Roman"/>
          <w:sz w:val="20"/>
          <w:szCs w:val="20"/>
          <w:color w:val="auto"/>
        </w:rPr>
        <w:t>Annual or interim results will be released on the dates specified below, after the close of U.S. markets. An earnings call is held on the following day, after release of the results. Please note that all dates are subject to change.</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1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Quarter</w:t>
            </w:r>
          </w:p>
        </w:tc>
        <w:tc>
          <w:tcPr>
            <w:tcW w:w="50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Date of release</w:t>
            </w:r>
          </w:p>
        </w:tc>
        <w:tc>
          <w:tcPr>
            <w:tcW w:w="44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Date of earnings call</w:t>
            </w:r>
          </w:p>
        </w:tc>
      </w:tr>
      <w:tr>
        <w:trPr>
          <w:trHeight w:val="242"/>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Q1 2026</w:t>
            </w:r>
          </w:p>
        </w:tc>
        <w:tc>
          <w:tcPr>
            <w:tcW w:w="5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May 6, 2026</w:t>
            </w: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May 7, 2026</w:t>
            </w:r>
          </w:p>
        </w:tc>
      </w:tr>
      <w:tr>
        <w:trPr>
          <w:trHeight w:val="242"/>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Q2 2026</w:t>
            </w:r>
          </w:p>
        </w:tc>
        <w:tc>
          <w:tcPr>
            <w:tcW w:w="5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August 19, 2026</w:t>
            </w: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August 20, 2026</w:t>
            </w:r>
          </w:p>
        </w:tc>
      </w:tr>
      <w:tr>
        <w:trPr>
          <w:trHeight w:val="242"/>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Q3 2026</w:t>
            </w:r>
          </w:p>
        </w:tc>
        <w:tc>
          <w:tcPr>
            <w:tcW w:w="5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November 11, 2026</w:t>
            </w: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November 12, 2026</w:t>
            </w:r>
          </w:p>
        </w:tc>
      </w:tr>
      <w:tr>
        <w:trPr>
          <w:trHeight w:val="242"/>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Q4 2026</w:t>
            </w:r>
          </w:p>
        </w:tc>
        <w:tc>
          <w:tcPr>
            <w:tcW w:w="5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March 10, 2027</w:t>
            </w:r>
          </w:p>
        </w:tc>
        <w:tc>
          <w:tcPr>
            <w:tcW w:w="4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March 11, 2027</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Alvotech</w:t>
      </w:r>
    </w:p>
    <w:p>
      <w:pPr>
        <w:spacing w:after="0" w:line="198"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9"/>
          <w:szCs w:val="19"/>
          <w:color w:val="auto"/>
        </w:rPr>
        <w:t>Alvotech is a biotechnology company, founded by Robert Wessman, focused solely on the development and manufacture of biosimilar medicines for patients worldwide. Alvotech seeks to be a global leader in the biosimilar space by delivering high-quality, cost-effective products and services, enabled by a fully integrated approach and broad in-house capabilities. Five biosimilars are already approved and marketed in multiple global markets, including biosimilars to Humira® (adalimumab), Stelara® (ustekinumab), Simponi® (golimumab), Eylea® (aflibercept) and Prolia®/Xgeva® (denosumab). The current development pipeline includes nine disclosed biosimilar candidates aimed at treating autoimmune disorders, eye disorders, osteoporosis, respiratory disease,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 None of the information on the Alvotech website shall be deemed part of this press release.</w:t>
      </w:r>
    </w:p>
    <w:p>
      <w:pPr>
        <w:spacing w:after="0" w:line="161"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20"/>
          <w:szCs w:val="20"/>
          <w:color w:val="auto"/>
        </w:rPr>
        <w:t>For more information, please visit our investor portal, and our website or follow us on social media on LinkedIn, Facebook, Instagram, and YouTube.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9"/>
          <w:szCs w:val="19"/>
          <w:color w:val="auto"/>
        </w:rPr>
        <w:t>Certain statements in this communication may be considered “forward-looking statements” within the meaning of the Private Securities Litigation Reform Act of 1995, as amended. Forward-looking statements include, for example, Alvotech’s expectations regarding competitive advantages, business prospects and opportunities including pipeline product development, future plans and intentions, regulatory submissions, review and interactions, the potential approval and commercial launch of its product candidates, the timing of regulatory approval, market launches and financial projections.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w:t>
      </w:r>
    </w:p>
    <w:p>
      <w:pPr>
        <w:sectPr>
          <w:pgSz w:w="11900" w:h="16838" w:orient="portrait"/>
          <w:cols w:equalWidth="0" w:num="1">
            <w:col w:w="11240"/>
          </w:cols>
          <w:pgMar w:left="320" w:top="114" w:right="339" w:bottom="0" w:gutter="0" w:footer="0" w:header="0"/>
        </w:sectPr>
      </w:pPr>
    </w:p>
    <w:bookmarkStart w:id="6" w:name="page7"/>
    <w:bookmarkEnd w:id="6"/>
    <w:p>
      <w:pPr>
        <w:ind w:right="700"/>
        <w:spacing w:after="0" w:line="265" w:lineRule="auto"/>
        <w:rPr>
          <w:sz w:val="20"/>
          <w:szCs w:val="20"/>
          <w:color w:val="auto"/>
        </w:rPr>
      </w:pPr>
      <w:r>
        <w:rPr>
          <w:rFonts w:ascii="Times New Roman" w:cs="Times New Roman" w:eastAsia="Times New Roman" w:hAnsi="Times New Roman"/>
          <w:sz w:val="20"/>
          <w:szCs w:val="20"/>
          <w:color w:val="auto"/>
        </w:rPr>
        <w:t>incurred by any person or entity as a result of anything contained or omitted from this communication and such liability is expressly disclaimed.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 IFRS Financial Measures</w:t>
      </w:r>
    </w:p>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This Presentation may include projections of certain financial measures not presented in accordance with International Financial Reporting Standards (“IFRS”) including, but not limited to, Adjusted Revenues, EBITDA and certain ratios and other metrics derived therefrom. These non-IFRS financial measures are not measures of financial performance in accordance with IFRS and may exclude items that are significant in understanding and assessing the Company’s financial results. Therefore, these measures should not be considered in isolation or as an alternative to net income, cash flows from operations or other measures of profitability, liquidity or performance under IFRS. You should be aware that the Company’s presentation of these measures may not be comparable to similarly-titled measures used by other companies. The Company believes these non-IFRS measures of financial results provide useful information to management and investors regarding certain financial and business trends relating to the Company’s financial condition and results of operations. The Company believes that the use of these non-IFRS financial measures provide an additional tool for investors to use in evaluating ongoing operating results and trends and in comparing the Company’s financial measures with other similar companies, many of which present similar non-IFRS financial measures to investors. These non-IFRS financial measures are subject to inherent limitations as they reflect the exercise of judgments by management about which expense and income are excluded or included in determining these non-IFRS financial measures. Due to the high variability and difficulty in making accurate forecasts and projections of some of the information excluded from these projected measures, together with some of the excluded information not being ascertainable or accessible, the Company is unable to quantify certain amounts that would be required to be included in the most directly comparable IFRS financial measures without unreasonable effort. Consequently, no disclosure of estimated comparable IFRS measures is included and no reconciliation of the forward-looking non-IFRS financial measures is included. For the same reasons, the Company is unable to address the probable significance of the unavailable information, which could be material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107950</wp:posOffset>
            </wp:positionV>
            <wp:extent cx="716851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line="209" w:lineRule="auto"/>
        <w:tabs>
          <w:tab w:leader="none" w:pos="133" w:val="left"/>
        </w:tabs>
        <w:numPr>
          <w:ilvl w:val="0"/>
          <w:numId w:val="1"/>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Figures are adjusted to exclude items that are not indicative of our ongoing operating performance. Please see the disclaimer on ‘Non IFRS Financial Measures’ at the end of this press release. As a foreign private issuer, Alvotech is not required to, and does not, prepare or file quarterly financial statements under IFRS or with the SEC. The financial information included in this Form 6-K reflects management’s current estimates and is presented for the purpose of providing an interim business update.</w:t>
      </w:r>
    </w:p>
    <w:p>
      <w:pPr>
        <w:sectPr>
          <w:pgSz w:w="11900" w:h="16838" w:orient="portrait"/>
          <w:cols w:equalWidth="0" w:num="1">
            <w:col w:w="11240"/>
          </w:cols>
          <w:pgMar w:left="320" w:top="114" w:right="339" w:bottom="1440" w:gutter="0" w:footer="0" w:header="0"/>
        </w:sectPr>
      </w:pPr>
    </w:p>
    <w:bookmarkStart w:id="7" w:name="page8"/>
    <w:bookmarkEnd w:id="7"/>
    <w:p>
      <w:pPr>
        <w:ind w:left="910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307340</wp:posOffset>
            </wp:positionV>
            <wp:extent cx="7200900" cy="4303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0" w:num="1">
            <w:col w:w="10120"/>
          </w:cols>
          <w:pgMar w:left="1440" w:top="110"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9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4319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1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1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1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1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1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1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1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9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4319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129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0" cy="4129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ind w:left="9100"/>
        <w:spacing w:after="0"/>
        <w:rPr>
          <w:sz w:val="20"/>
          <w:szCs w:val="20"/>
          <w:color w:val="auto"/>
        </w:rPr>
      </w:pPr>
      <w:r>
        <w:rPr>
          <w:rFonts w:ascii="Times New Roman" w:cs="Times New Roman" w:eastAsia="Times New Roman" w:hAnsi="Times New Roman"/>
          <w:sz w:val="19"/>
          <w:szCs w:val="19"/>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165100</wp:posOffset>
            </wp:positionV>
            <wp:extent cx="7200900" cy="4303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0" w:num="1">
            <w:col w:w="10120"/>
          </w:cols>
          <w:pgMar w:left="1440" w:top="110" w:right="33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9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0" cy="4319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357505</wp:posOffset>
            </wp:positionV>
            <wp:extent cx="7200900" cy="4303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357505</wp:posOffset>
            </wp:positionV>
            <wp:extent cx="7200900" cy="4303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357505</wp:posOffset>
            </wp:positionV>
            <wp:extent cx="7200900" cy="4303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357505</wp:posOffset>
            </wp:positionV>
            <wp:extent cx="7200900" cy="4303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357505</wp:posOffset>
            </wp:positionV>
            <wp:extent cx="7200900" cy="4303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357505</wp:posOffset>
            </wp:positionV>
            <wp:extent cx="7200900" cy="4303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1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90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11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900"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303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358140</wp:posOffset>
            </wp:positionV>
            <wp:extent cx="7200900" cy="41294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0" cy="4129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2026-03-19T06:14:21Z</dcterms:created>
  <dcterms:modified xsi:type="dcterms:W3CDTF">2026-03-19T06:14:21Z</dcterms:modified>
</cp:coreProperties>
</file>