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333-275111</w:t>
      </w:r>
    </w:p>
    <w:p>
      <w:pPr>
        <w:spacing w:after="0" w:line="203" w:lineRule="exact"/>
        <w:rPr>
          <w:sz w:val="24"/>
          <w:szCs w:val="24"/>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supplement is not complete and may be changed. A registration statement relating to these securities has been filed with the Securities and Exchange Commission and is effective. This preliminary prospectus supplement is not an offer to sell these securities, and it is not soliciting offers to buy these securities in any jurisdiction where such offer or sale is not permitted.</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15,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142875</wp:posOffset>
            </wp:positionV>
            <wp:extent cx="183451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25"/>
          <w:szCs w:val="25"/>
          <w:b w:val="1"/>
          <w:bCs w:val="1"/>
          <w:color w:val="auto"/>
        </w:rPr>
        <w:t>$</w:t>
      </w:r>
    </w:p>
    <w:p>
      <w:pPr>
        <w:spacing w:after="0" w:line="22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5"/>
          <w:szCs w:val="25"/>
          <w:b w:val="1"/>
          <w:bCs w:val="1"/>
          <w:color w:val="auto"/>
        </w:rPr>
        <w:t>Ordinary Shares</w:t>
      </w:r>
    </w:p>
    <w:p>
      <w:pPr>
        <w:sectPr>
          <w:pgSz w:w="11900" w:h="16838" w:orient="portrait"/>
          <w:cols w:equalWidth="0" w:num="1">
            <w:col w:w="11240"/>
          </w:cols>
          <w:pgMar w:left="320" w:top="225" w:right="339" w:bottom="1440" w:gutter="0" w:footer="0" w:header="0"/>
        </w:sectPr>
      </w:pPr>
    </w:p>
    <w:p>
      <w:pPr>
        <w:spacing w:after="0" w:line="236" w:lineRule="exact"/>
        <w:rPr>
          <w:sz w:val="24"/>
          <w:szCs w:val="24"/>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We are offering prospectus.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ordinary shares, with a nominal value of $0.01 per share, pursuant to this prospectus supplement and accompanying</w:t>
      </w:r>
    </w:p>
    <w:p>
      <w:pPr>
        <w:spacing w:after="0" w:line="441" w:lineRule="exact"/>
        <w:rPr>
          <w:sz w:val="24"/>
          <w:szCs w:val="24"/>
          <w:color w:val="auto"/>
        </w:rPr>
      </w:pPr>
    </w:p>
    <w:p>
      <w:pPr>
        <w:sectPr>
          <w:pgSz w:w="11900" w:h="16838" w:orient="portrait"/>
          <w:cols w:equalWidth="0" w:num="2">
            <w:col w:w="1840" w:space="720"/>
            <w:col w:w="8680"/>
          </w:cols>
          <w:pgMar w:left="320" w:top="225" w:right="33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(“Nasdaq”) and the Nasdaq Main Market in Iceland (the “Nasdaq Iceland Main Market”) under the symbol “ALVO.” Our warrants are listed on Nasdaq under the symbol “ALVOW.” Our Swedish Depositary Receipts (“SDRs”), each representing one ordinary share, are listed on Nasdaq Stockholm under the symbol “ALVO SDB.” On June 12, 2026, the closing price of our ordinary shares on Nasdaq was $4.17.</w:t>
      </w:r>
    </w:p>
    <w:p>
      <w:pPr>
        <w:spacing w:after="0" w:line="180" w:lineRule="exact"/>
        <w:rPr>
          <w:sz w:val="24"/>
          <w:szCs w:val="24"/>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15, 2026, certain investors in the European Economic Area indicated an intent to subscribe or purchase up to $ million of our ordinary shares in a private placement. We refer to this transaction as the “concurrent private placement.” The shares will be offered solely to professional clients or eligible counterparties falling within article 1(4) of Regulation (EU) 2017/1129, at a price per share equal to the public offering price of our ordinary shares in this offering. Consummation of the concurrent private placement is conditioned on the closing of this offering and the satisfaction of certain other customary conditions, and is expected to occur within seven business days following the closing of this offering. The consummation of this offering is not contingent on the consummation of the concurrent private placement.</w:t>
      </w:r>
    </w:p>
    <w:p>
      <w:pPr>
        <w:spacing w:after="0" w:line="187"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“foreign private issuer” under applicable Securities and Exchange Commission (“SEC”) rules and are eligible for reduced public company disclosure requirements. See “Prospectus Supplement Summary—Implications of Being a ‘Foreign Private Issuer.’”</w:t>
      </w:r>
    </w:p>
    <w:p>
      <w:pPr>
        <w:spacing w:after="0" w:line="158"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heading “Risk Factors” on page S-7 of this prospectus supplement and in the documents that are incorporated by reference into this prospectus supplement.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Per</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5780" w:type="dxa"/>
            <w:vAlign w:val="bottom"/>
            <w:tcBorders>
              <w:bottom w:val="single" w:sz="8" w:color="E5FFFF"/>
            </w:tcBorders>
          </w:tcPr>
          <w:p>
            <w:pPr>
              <w:spacing w:after="0"/>
              <w:rPr>
                <w:sz w:val="20"/>
                <w:szCs w:val="20"/>
                <w:color w:val="auto"/>
              </w:rPr>
            </w:pPr>
          </w:p>
        </w:tc>
        <w:tc>
          <w:tcPr>
            <w:tcW w:w="2560" w:type="dxa"/>
            <w:vAlign w:val="bottom"/>
            <w:tcBorders>
              <w:bottom w:val="single" w:sz="8" w:color="E5FFFF"/>
            </w:tcBorders>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00" w:type="dxa"/>
            <w:vAlign w:val="bottom"/>
            <w:tcBorders>
              <w:bottom w:val="single" w:sz="8" w:color="E5FFFF"/>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78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8"/>
                <w:szCs w:val="18"/>
                <w:color w:val="auto"/>
              </w:rPr>
              <w:t>Offering price</w:t>
            </w:r>
          </w:p>
        </w:tc>
        <w:tc>
          <w:tcPr>
            <w:tcW w:w="2560" w:type="dxa"/>
            <w:vAlign w:val="bottom"/>
            <w:shd w:val="clear" w:color="auto" w:fill="E5FFFF"/>
          </w:tcPr>
          <w:p>
            <w:pPr>
              <w:spacing w:after="0"/>
              <w:rPr>
                <w:sz w:val="18"/>
                <w:szCs w:val="18"/>
                <w:color w:val="auto"/>
              </w:rPr>
            </w:pPr>
          </w:p>
        </w:tc>
        <w:tc>
          <w:tcPr>
            <w:tcW w:w="1060" w:type="dxa"/>
            <w:vAlign w:val="bottom"/>
            <w:shd w:val="clear" w:color="auto" w:fill="E5FF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E5FFFF"/>
          </w:tcPr>
          <w:p>
            <w:pPr>
              <w:spacing w:after="0"/>
              <w:rPr>
                <w:sz w:val="18"/>
                <w:szCs w:val="18"/>
                <w:color w:val="auto"/>
              </w:rPr>
            </w:pPr>
          </w:p>
        </w:tc>
        <w:tc>
          <w:tcPr>
            <w:tcW w:w="1080" w:type="dxa"/>
            <w:vAlign w:val="bottom"/>
            <w:shd w:val="clear" w:color="auto" w:fill="E5FF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r>
      <w:tr>
        <w:trPr>
          <w:trHeight w:val="256"/>
        </w:trPr>
        <w:tc>
          <w:tcPr>
            <w:tcW w:w="578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Underwriting commissions</w:t>
            </w:r>
            <w:r>
              <w:rPr>
                <w:rFonts w:ascii="Times New Roman" w:cs="Times New Roman" w:eastAsia="Times New Roman" w:hAnsi="Times New Roman"/>
                <w:sz w:val="29"/>
                <w:szCs w:val="29"/>
                <w:color w:val="auto"/>
                <w:vertAlign w:val="superscript"/>
              </w:rPr>
              <w:t>(1)</w:t>
            </w:r>
          </w:p>
        </w:tc>
        <w:tc>
          <w:tcPr>
            <w:tcW w:w="3620" w:type="dxa"/>
            <w:vAlign w:val="bottom"/>
            <w:gridSpan w:val="2"/>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8"/>
                <w:szCs w:val="18"/>
                <w:color w:val="auto"/>
              </w:rPr>
              <w:t>Proceeds to the Company (before expenses)</w:t>
            </w:r>
          </w:p>
        </w:tc>
        <w:tc>
          <w:tcPr>
            <w:tcW w:w="3620" w:type="dxa"/>
            <w:vAlign w:val="bottom"/>
            <w:gridSpan w:val="2"/>
            <w:shd w:val="clear" w:color="auto" w:fill="E5FF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5FF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S-28 of this prospectus supplement for additional information regarding underwriting compensation.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of ordinary shares from us at the public offering price, less underwriting discounts and commissions, within 30 days from the date of the final prospectus supplement.</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or other securities commission has approved or disapproved of these securities or passed upon the accuracy or adequacy of this prospectus supplement or the accompanying prospectus. Any representation to the contrary is a criminal offense.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40" w:type="dxa"/>
            <w:vAlign w:val="bottom"/>
          </w:tcPr>
          <w:p>
            <w:pPr>
              <w:spacing w:after="0"/>
              <w:rPr>
                <w:sz w:val="20"/>
                <w:szCs w:val="20"/>
                <w:color w:val="auto"/>
              </w:rPr>
            </w:pPr>
          </w:p>
        </w:tc>
        <w:tc>
          <w:tcPr>
            <w:tcW w:w="4580" w:type="dxa"/>
            <w:vAlign w:val="bottom"/>
          </w:tcPr>
          <w:p>
            <w:pPr>
              <w:jc w:val="center"/>
              <w:ind w:left="1704"/>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c>
          <w:tcPr>
            <w:tcW w:w="4220" w:type="dxa"/>
            <w:vAlign w:val="bottom"/>
          </w:tcPr>
          <w:p>
            <w:pPr>
              <w:spacing w:after="0"/>
              <w:rPr>
                <w:sz w:val="20"/>
                <w:szCs w:val="20"/>
                <w:color w:val="auto"/>
              </w:rPr>
            </w:pPr>
          </w:p>
        </w:tc>
      </w:tr>
      <w:tr>
        <w:trPr>
          <w:trHeight w:val="471"/>
        </w:trPr>
        <w:tc>
          <w:tcPr>
            <w:tcW w:w="24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4580" w:type="dxa"/>
            <w:vAlign w:val="bottom"/>
          </w:tcPr>
          <w:p>
            <w:pPr>
              <w:jc w:val="center"/>
              <w:ind w:left="1704"/>
              <w:spacing w:after="0"/>
              <w:rPr>
                <w:sz w:val="20"/>
                <w:szCs w:val="20"/>
                <w:color w:val="auto"/>
              </w:rPr>
            </w:pPr>
            <w:r>
              <w:rPr>
                <w:rFonts w:ascii="Times New Roman" w:cs="Times New Roman" w:eastAsia="Times New Roman" w:hAnsi="Times New Roman"/>
                <w:sz w:val="22"/>
                <w:szCs w:val="22"/>
                <w:b w:val="1"/>
                <w:bCs w:val="1"/>
                <w:color w:val="auto"/>
                <w:w w:val="98"/>
              </w:rPr>
              <w:t>Jefferies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Evercore ISI</w:t>
            </w:r>
          </w:p>
        </w:tc>
      </w:tr>
      <w:tr>
        <w:trPr>
          <w:trHeight w:val="420"/>
        </w:trPr>
        <w:tc>
          <w:tcPr>
            <w:tcW w:w="2440" w:type="dxa"/>
            <w:vAlign w:val="bottom"/>
          </w:tcPr>
          <w:p>
            <w:pPr>
              <w:spacing w:after="0"/>
              <w:rPr>
                <w:sz w:val="24"/>
                <w:szCs w:val="24"/>
                <w:color w:val="auto"/>
              </w:rPr>
            </w:pPr>
          </w:p>
        </w:tc>
        <w:tc>
          <w:tcPr>
            <w:tcW w:w="45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w:t>
            </w:r>
          </w:p>
        </w:tc>
        <w:tc>
          <w:tcPr>
            <w:tcW w:w="4220" w:type="dxa"/>
            <w:vAlign w:val="bottom"/>
          </w:tcPr>
          <w:p>
            <w:pPr>
              <w:jc w:val="right"/>
              <w:ind w:right="3321"/>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277"/>
        </w:trPr>
        <w:tc>
          <w:tcPr>
            <w:tcW w:w="2440" w:type="dxa"/>
            <w:vAlign w:val="bottom"/>
            <w:tcBorders>
              <w:bottom w:val="single" w:sz="8" w:color="C0C0C0"/>
            </w:tcBorders>
          </w:tcPr>
          <w:p>
            <w:pPr>
              <w:spacing w:after="0"/>
              <w:rPr>
                <w:sz w:val="24"/>
                <w:szCs w:val="24"/>
                <w:color w:val="auto"/>
              </w:rPr>
            </w:pPr>
          </w:p>
        </w:tc>
        <w:tc>
          <w:tcPr>
            <w:tcW w:w="4580" w:type="dxa"/>
            <w:vAlign w:val="bottom"/>
            <w:tcBorders>
              <w:bottom w:val="single" w:sz="8" w:color="C0C0C0"/>
            </w:tcBorders>
          </w:tcPr>
          <w:p>
            <w:pPr>
              <w:spacing w:after="0"/>
              <w:rPr>
                <w:sz w:val="24"/>
                <w:szCs w:val="24"/>
                <w:color w:val="auto"/>
              </w:rPr>
            </w:pPr>
          </w:p>
        </w:tc>
        <w:tc>
          <w:tcPr>
            <w:tcW w:w="42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80" w:type="dxa"/>
            <w:vAlign w:val="bottom"/>
            <w:gridSpan w:val="8"/>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40" w:type="dxa"/>
            <w:vAlign w:val="bottom"/>
          </w:tcPr>
          <w:p>
            <w:pPr>
              <w:spacing w:after="0"/>
              <w:rPr>
                <w:sz w:val="20"/>
                <w:szCs w:val="20"/>
                <w:color w:val="auto"/>
              </w:rPr>
            </w:pPr>
          </w:p>
        </w:tc>
      </w:tr>
      <w:tr>
        <w:trPr>
          <w:trHeight w:val="43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304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w:t>
            </w:r>
          </w:p>
        </w:tc>
      </w:tr>
      <w:tr>
        <w:trPr>
          <w:trHeight w:val="412"/>
        </w:trPr>
        <w:tc>
          <w:tcPr>
            <w:tcW w:w="330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PROSPECTUS SUPPLEMENT SUMMARY</w:t>
            </w:r>
          </w:p>
        </w:tc>
        <w:tc>
          <w:tcPr>
            <w:tcW w:w="140" w:type="dxa"/>
            <w:vAlign w:val="bottom"/>
            <w:tcBorders>
              <w:top w:val="single" w:sz="8" w:color="0000EE"/>
            </w:tcBorders>
          </w:tcPr>
          <w:p>
            <w:pPr>
              <w:spacing w:after="0"/>
              <w:rPr>
                <w:sz w:val="24"/>
                <w:szCs w:val="24"/>
                <w:color w:val="auto"/>
              </w:rPr>
            </w:pPr>
          </w:p>
        </w:tc>
        <w:tc>
          <w:tcPr>
            <w:tcW w:w="4760" w:type="dxa"/>
            <w:vAlign w:val="bottom"/>
            <w:gridSpan w:val="9"/>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412"/>
        </w:trPr>
        <w:tc>
          <w:tcPr>
            <w:tcW w:w="12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940" w:type="dxa"/>
            <w:vAlign w:val="bottom"/>
            <w:gridSpan w:val="25"/>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S-7</w:t>
            </w: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S-11</w:t>
            </w:r>
          </w:p>
        </w:tc>
      </w:tr>
      <w:tr>
        <w:trPr>
          <w:trHeight w:val="412"/>
        </w:trPr>
        <w:tc>
          <w:tcPr>
            <w:tcW w:w="534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60" w:type="dxa"/>
            <w:vAlign w:val="bottom"/>
            <w:gridSpan w:val="4"/>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S-14</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S-15</w:t>
            </w:r>
          </w:p>
        </w:tc>
      </w:tr>
      <w:tr>
        <w:trPr>
          <w:trHeight w:val="412"/>
        </w:trPr>
        <w:tc>
          <w:tcPr>
            <w:tcW w:w="14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CAPITALIZATION</w:t>
            </w:r>
          </w:p>
        </w:tc>
        <w:tc>
          <w:tcPr>
            <w:tcW w:w="100" w:type="dxa"/>
            <w:vAlign w:val="bottom"/>
            <w:tcBorders>
              <w:top w:val="single" w:sz="8" w:color="0000EE"/>
            </w:tcBorders>
          </w:tcPr>
          <w:p>
            <w:pPr>
              <w:spacing w:after="0"/>
              <w:rPr>
                <w:sz w:val="24"/>
                <w:szCs w:val="24"/>
                <w:color w:val="auto"/>
              </w:rPr>
            </w:pPr>
          </w:p>
        </w:tc>
        <w:tc>
          <w:tcPr>
            <w:tcW w:w="6620" w:type="dxa"/>
            <w:vAlign w:val="bottom"/>
            <w:gridSpan w:val="21"/>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S-16</w:t>
            </w: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DILUTION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S-17</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49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8"/>
              </w:rPr>
              <w:t>MATERIAL LUXEMBOURG INCOME TAX CONSIDERATIONS</w:t>
            </w:r>
          </w:p>
        </w:tc>
        <w:tc>
          <w:tcPr>
            <w:tcW w:w="3220" w:type="dxa"/>
            <w:vAlign w:val="bottom"/>
            <w:gridSpan w:val="6"/>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S-18</w:t>
            </w:r>
          </w:p>
        </w:tc>
      </w:tr>
      <w:tr>
        <w:trPr>
          <w:trHeight w:val="412"/>
        </w:trPr>
        <w:tc>
          <w:tcPr>
            <w:tcW w:w="48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MATERIAL U.S. FEDERAL INCOME TAX CONSIDERATIONS</w:t>
            </w:r>
          </w:p>
        </w:tc>
        <w:tc>
          <w:tcPr>
            <w:tcW w:w="3320" w:type="dxa"/>
            <w:vAlign w:val="bottom"/>
            <w:gridSpan w:val="7"/>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S-23</w:t>
            </w:r>
          </w:p>
        </w:tc>
      </w:tr>
      <w:tr>
        <w:trPr>
          <w:trHeight w:val="412"/>
        </w:trPr>
        <w:tc>
          <w:tcPr>
            <w:tcW w:w="14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UNDERWRITING</w:t>
            </w:r>
          </w:p>
        </w:tc>
        <w:tc>
          <w:tcPr>
            <w:tcW w:w="6800" w:type="dxa"/>
            <w:vAlign w:val="bottom"/>
            <w:gridSpan w:val="24"/>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S-28</w:t>
            </w:r>
          </w:p>
        </w:tc>
      </w:tr>
      <w:tr>
        <w:trPr>
          <w:trHeight w:val="412"/>
        </w:trPr>
        <w:tc>
          <w:tcPr>
            <w:tcW w:w="31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CONCURRENT PRIVATE PLACEMENT</w:t>
            </w:r>
          </w:p>
        </w:tc>
        <w:tc>
          <w:tcPr>
            <w:tcW w:w="5080" w:type="dxa"/>
            <w:vAlign w:val="bottom"/>
            <w:gridSpan w:val="11"/>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S-36</w:t>
            </w:r>
          </w:p>
        </w:tc>
      </w:tr>
      <w:tr>
        <w:trPr>
          <w:trHeight w:val="412"/>
        </w:trPr>
        <w:tc>
          <w:tcPr>
            <w:tcW w:w="1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MATERIAL CHANGES</w:t>
            </w:r>
          </w:p>
        </w:tc>
        <w:tc>
          <w:tcPr>
            <w:tcW w:w="6380" w:type="dxa"/>
            <w:vAlign w:val="bottom"/>
            <w:gridSpan w:val="20"/>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S-37</w:t>
            </w: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w w:val="99"/>
              </w:rPr>
              <w:t>SERVICE OF PROCESS AND ENFORCEMENT OF CIVIL LIABILITIES UNDER U.S. SECURITIES LAWS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S-37</w:t>
            </w:r>
          </w:p>
        </w:tc>
      </w:tr>
      <w:tr>
        <w:trPr>
          <w:trHeight w:val="412"/>
        </w:trPr>
        <w:tc>
          <w:tcPr>
            <w:tcW w:w="816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S-39</w:t>
            </w:r>
          </w:p>
        </w:tc>
      </w:tr>
      <w:tr>
        <w:trPr>
          <w:trHeight w:val="412"/>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6"/>
          </w:tcPr>
          <w:p>
            <w:pPr>
              <w:spacing w:after="0"/>
              <w:rPr>
                <w:sz w:val="24"/>
                <w:szCs w:val="24"/>
                <w:color w:val="auto"/>
              </w:rPr>
            </w:pPr>
          </w:p>
        </w:tc>
        <w:tc>
          <w:tcPr>
            <w:tcW w:w="6740" w:type="dxa"/>
            <w:vAlign w:val="bottom"/>
            <w:gridSpan w:val="2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S-39</w:t>
            </w: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S-39</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S-40</w:t>
            </w:r>
          </w:p>
        </w:tc>
      </w:tr>
      <w:tr>
        <w:trPr>
          <w:trHeight w:val="453"/>
        </w:trPr>
        <w:tc>
          <w:tcPr>
            <w:tcW w:w="518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020" w:type="dxa"/>
            <w:vAlign w:val="bottom"/>
            <w:gridSpan w:val="5"/>
          </w:tcPr>
          <w:p>
            <w:pPr>
              <w:spacing w:after="0"/>
              <w:rPr>
                <w:sz w:val="24"/>
                <w:szCs w:val="24"/>
                <w:color w:val="auto"/>
              </w:rPr>
            </w:pPr>
          </w:p>
        </w:tc>
        <w:tc>
          <w:tcPr>
            <w:tcW w:w="3040" w:type="dxa"/>
            <w:vAlign w:val="bottom"/>
          </w:tcPr>
          <w:p>
            <w:pPr>
              <w:spacing w:after="0"/>
              <w:rPr>
                <w:sz w:val="24"/>
                <w:szCs w:val="24"/>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22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
              <w:r>
                <w:rPr>
                  <w:rFonts w:ascii="Times New Roman" w:cs="Times New Roman" w:eastAsia="Times New Roman" w:hAnsi="Times New Roman"/>
                  <w:sz w:val="18"/>
                  <w:szCs w:val="18"/>
                  <w:color w:val="0000EE"/>
                  <w:w w:val="99"/>
                </w:rPr>
                <w:t>ABOUT THIS PROSPECTUS</w:t>
              </w:r>
            </w:hyperlink>
          </w:p>
        </w:tc>
        <w:tc>
          <w:tcPr>
            <w:tcW w:w="5960" w:type="dxa"/>
            <w:vAlign w:val="bottom"/>
            <w:gridSpan w:val="15"/>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412"/>
        </w:trPr>
        <w:tc>
          <w:tcPr>
            <w:tcW w:w="2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
              <w:r>
                <w:rPr>
                  <w:rFonts w:ascii="Times New Roman" w:cs="Times New Roman" w:eastAsia="Times New Roman" w:hAnsi="Times New Roman"/>
                  <w:sz w:val="18"/>
                  <w:szCs w:val="18"/>
                  <w:color w:val="0000EE"/>
                  <w:w w:val="99"/>
                </w:rPr>
                <w:t>PROSPECTUS SUMMARY</w:t>
              </w:r>
            </w:hyperlink>
          </w:p>
        </w:tc>
        <w:tc>
          <w:tcPr>
            <w:tcW w:w="6100" w:type="dxa"/>
            <w:vAlign w:val="bottom"/>
            <w:gridSpan w:val="17"/>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12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13">
              <w:r>
                <w:rPr>
                  <w:rFonts w:ascii="Times New Roman" w:cs="Times New Roman" w:eastAsia="Times New Roman" w:hAnsi="Times New Roman"/>
                  <w:sz w:val="18"/>
                  <w:szCs w:val="18"/>
                  <w:color w:val="0000EE"/>
                  <w:w w:val="97"/>
                </w:rPr>
                <w:t>RISK FACTORS</w:t>
              </w:r>
            </w:hyperlink>
          </w:p>
        </w:tc>
        <w:tc>
          <w:tcPr>
            <w:tcW w:w="6940" w:type="dxa"/>
            <w:vAlign w:val="bottom"/>
            <w:gridSpan w:val="25"/>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8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8"/>
              </w:rPr>
            </w:pPr>
            <w:hyperlink r:id="rId14">
              <w:r>
                <w:rPr>
                  <w:rFonts w:ascii="Times New Roman" w:cs="Times New Roman" w:eastAsia="Times New Roman" w:hAnsi="Times New Roman"/>
                  <w:sz w:val="18"/>
                  <w:szCs w:val="18"/>
                  <w:color w:val="0000EE"/>
                  <w:w w:val="98"/>
                </w:rPr>
                <w:t>CAUTIONARY NOTE REGARDING FORWARD-LOOKING STATEMENTS</w:t>
              </w:r>
            </w:hyperlink>
          </w:p>
        </w:tc>
        <w:tc>
          <w:tcPr>
            <w:tcW w:w="2400" w:type="dxa"/>
            <w:vAlign w:val="bottom"/>
            <w:gridSpan w:val="2"/>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8200" w:type="dxa"/>
            <w:vAlign w:val="bottom"/>
            <w:gridSpan w:val="30"/>
          </w:tcPr>
          <w:p>
            <w:pPr>
              <w:spacing w:after="0"/>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OFFER AND LISTING DETAILS</w:t>
              </w:r>
            </w:hyperlink>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25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USE OF PROCEEDS</w:t>
              </w:r>
            </w:hyperlink>
          </w:p>
        </w:tc>
        <w:tc>
          <w:tcPr>
            <w:tcW w:w="5680" w:type="dxa"/>
            <w:vAlign w:val="bottom"/>
            <w:gridSpan w:val="1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30"/>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DESCRIPTION OF SHARE CAPITAL AND ARTICLES OF ASSOCIATION</w:t>
              </w:r>
            </w:hyperlink>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3040" w:type="dxa"/>
            <w:vAlign w:val="bottom"/>
            <w:tcBorders>
              <w:top w:val="single" w:sz="8" w:color="0000EE"/>
              <w:bottom w:val="single" w:sz="8" w:color="0000EE"/>
            </w:tcBorders>
            <w:gridSpan w:val="18"/>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DESCRIPTION OF DEBT SECURITIES</w:t>
              </w:r>
            </w:hyperlink>
          </w:p>
        </w:tc>
        <w:tc>
          <w:tcPr>
            <w:tcW w:w="2660" w:type="dxa"/>
            <w:vAlign w:val="bottom"/>
            <w:tcBorders>
              <w:top w:val="single" w:sz="8" w:color="0000EE"/>
            </w:tcBorders>
            <w:gridSpan w:val="9"/>
          </w:tcPr>
          <w:p>
            <w:pPr>
              <w:spacing w:after="0"/>
              <w:rPr>
                <w:sz w:val="24"/>
                <w:szCs w:val="24"/>
                <w:color w:val="auto"/>
              </w:rPr>
            </w:pPr>
          </w:p>
        </w:tc>
        <w:tc>
          <w:tcPr>
            <w:tcW w:w="2500" w:type="dxa"/>
            <w:vAlign w:val="bottom"/>
            <w:gridSpan w:val="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8200" w:type="dxa"/>
            <w:vAlign w:val="bottom"/>
            <w:gridSpan w:val="30"/>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DESCRIPTION OF WARRANTS</w:t>
              </w:r>
            </w:hyperlink>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248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DESCRIPTION OF RIGHTS</w:t>
              </w:r>
            </w:hyperlink>
          </w:p>
        </w:tc>
        <w:tc>
          <w:tcPr>
            <w:tcW w:w="5720" w:type="dxa"/>
            <w:vAlign w:val="bottom"/>
            <w:gridSpan w:val="14"/>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214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DESCRIPTION OF UNITS</w:t>
              </w:r>
            </w:hyperlink>
          </w:p>
        </w:tc>
        <w:tc>
          <w:tcPr>
            <w:tcW w:w="6060" w:type="dxa"/>
            <w:vAlign w:val="bottom"/>
            <w:gridSpan w:val="16"/>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9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6"/>
              </w:rPr>
            </w:pPr>
            <w:hyperlink r:id="rId22">
              <w:r>
                <w:rPr>
                  <w:rFonts w:ascii="Times New Roman" w:cs="Times New Roman" w:eastAsia="Times New Roman" w:hAnsi="Times New Roman"/>
                  <w:sz w:val="18"/>
                  <w:szCs w:val="18"/>
                  <w:color w:val="0000EE"/>
                  <w:w w:val="96"/>
                </w:rPr>
                <w:t>TAXATION</w:t>
              </w:r>
            </w:hyperlink>
          </w:p>
        </w:tc>
        <w:tc>
          <w:tcPr>
            <w:tcW w:w="1100" w:type="dxa"/>
            <w:vAlign w:val="bottom"/>
            <w:tcBorders>
              <w:top w:val="single" w:sz="8" w:color="0000EE"/>
            </w:tcBorders>
            <w:gridSpan w:val="7"/>
          </w:tcPr>
          <w:p>
            <w:pPr>
              <w:spacing w:after="0"/>
              <w:rPr>
                <w:sz w:val="24"/>
                <w:szCs w:val="24"/>
                <w:color w:val="auto"/>
              </w:rPr>
            </w:pPr>
          </w:p>
        </w:tc>
        <w:tc>
          <w:tcPr>
            <w:tcW w:w="6180" w:type="dxa"/>
            <w:vAlign w:val="bottom"/>
            <w:gridSpan w:val="19"/>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2"/>
        </w:trPr>
        <w:tc>
          <w:tcPr>
            <w:tcW w:w="20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PLAN OF DISTRIBUTION</w:t>
              </w:r>
            </w:hyperlink>
          </w:p>
        </w:tc>
        <w:tc>
          <w:tcPr>
            <w:tcW w:w="6140" w:type="dxa"/>
            <w:vAlign w:val="bottom"/>
            <w:gridSpan w:val="18"/>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2"/>
        </w:trPr>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EXPENSES</w:t>
              </w:r>
            </w:hyperlink>
          </w:p>
        </w:tc>
        <w:tc>
          <w:tcPr>
            <w:tcW w:w="7300" w:type="dxa"/>
            <w:vAlign w:val="bottom"/>
            <w:gridSpan w:val="27"/>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82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SERVICE OF PROCESS AND ENFORCEMENT OF CIVIL LIABILITIES UNDER U.S. SECURITIES LAWS</w:t>
              </w:r>
            </w:hyperlink>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ectPr>
          <w:pgSz w:w="11900" w:h="16838" w:orient="portrait"/>
          <w:cols w:equalWidth="0" w:num="1">
            <w:col w:w="11240"/>
          </w:cols>
          <w:pgMar w:left="320" w:top="117"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5"/>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LEGAL MATTERS</w:t>
              </w:r>
            </w:hyperlink>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7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7"/>
              </w:rPr>
            </w:pPr>
            <w:hyperlink r:id="rId27">
              <w:r>
                <w:rPr>
                  <w:rFonts w:ascii="Times New Roman" w:cs="Times New Roman" w:eastAsia="Times New Roman" w:hAnsi="Times New Roman"/>
                  <w:sz w:val="18"/>
                  <w:szCs w:val="18"/>
                  <w:color w:val="0000EE"/>
                  <w:w w:val="97"/>
                </w:rPr>
                <w:t>EXPERTS</w:t>
              </w:r>
            </w:hyperlink>
          </w:p>
        </w:tc>
        <w:tc>
          <w:tcPr>
            <w:tcW w:w="680" w:type="dxa"/>
            <w:vAlign w:val="bottom"/>
            <w:tcBorders>
              <w:top w:val="single" w:sz="8" w:color="0000EE"/>
            </w:tcBorders>
          </w:tcPr>
          <w:p>
            <w:pPr>
              <w:spacing w:after="0"/>
              <w:rPr>
                <w:sz w:val="24"/>
                <w:szCs w:val="24"/>
                <w:color w:val="auto"/>
              </w:rPr>
            </w:pPr>
          </w:p>
        </w:tc>
        <w:tc>
          <w:tcPr>
            <w:tcW w:w="2760" w:type="dxa"/>
            <w:vAlign w:val="bottom"/>
            <w:gridSpan w:val="3"/>
          </w:tcPr>
          <w:p>
            <w:pPr>
              <w:spacing w:after="0"/>
              <w:rPr>
                <w:sz w:val="24"/>
                <w:szCs w:val="24"/>
                <w:color w:val="auto"/>
              </w:rPr>
            </w:pPr>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4220" w:type="dxa"/>
            <w:vAlign w:val="bottom"/>
            <w:gridSpan w:val="5"/>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WHERE YOU CAN FIND MORE INFORMATION</w:t>
              </w:r>
            </w:hyperlink>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8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20" w:type="dxa"/>
            <w:vAlign w:val="bottom"/>
            <w:gridSpan w:val="2"/>
          </w:tcPr>
          <w:p>
            <w:pPr>
              <w:spacing w:after="0" w:line="20" w:lineRule="exact"/>
              <w:rPr>
                <w:sz w:val="1"/>
                <w:szCs w:val="1"/>
                <w:color w:val="auto"/>
              </w:rPr>
            </w:pPr>
          </w:p>
        </w:tc>
      </w:tr>
      <w:tr>
        <w:trPr>
          <w:trHeight w:val="412"/>
        </w:trPr>
        <w:tc>
          <w:tcPr>
            <w:tcW w:w="4220" w:type="dxa"/>
            <w:vAlign w:val="bottom"/>
            <w:gridSpan w:val="5"/>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INFORMATION INCORPORATED BY REFERENCE</w:t>
              </w:r>
            </w:hyperlink>
          </w:p>
        </w:tc>
        <w:tc>
          <w:tcPr>
            <w:tcW w:w="7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7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23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4220" w:type="dxa"/>
            <w:vAlign w:val="bottom"/>
          </w:tcPr>
          <w:p>
            <w:pPr>
              <w:spacing w:after="0"/>
              <w:rPr>
                <w:sz w:val="20"/>
                <w:szCs w:val="20"/>
                <w:color w:val="auto"/>
              </w:rPr>
            </w:pPr>
          </w:p>
        </w:tc>
      </w:tr>
      <w:tr>
        <w:trPr>
          <w:trHeight w:val="284"/>
        </w:trPr>
        <w:tc>
          <w:tcPr>
            <w:tcW w:w="780" w:type="dxa"/>
            <w:vAlign w:val="bottom"/>
            <w:tcBorders>
              <w:bottom w:val="single" w:sz="8" w:color="C0C0C0"/>
            </w:tcBorders>
          </w:tcPr>
          <w:p>
            <w:pPr>
              <w:spacing w:after="0"/>
              <w:rPr>
                <w:sz w:val="24"/>
                <w:szCs w:val="24"/>
                <w:color w:val="auto"/>
              </w:rPr>
            </w:pPr>
          </w:p>
        </w:tc>
        <w:tc>
          <w:tcPr>
            <w:tcW w:w="680" w:type="dxa"/>
            <w:vAlign w:val="bottom"/>
            <w:tcBorders>
              <w:bottom w:val="single" w:sz="8" w:color="C0C0C0"/>
            </w:tcBorders>
          </w:tcPr>
          <w:p>
            <w:pPr>
              <w:spacing w:after="0"/>
              <w:rPr>
                <w:sz w:val="24"/>
                <w:szCs w:val="24"/>
                <w:color w:val="auto"/>
              </w:rPr>
            </w:pPr>
          </w:p>
        </w:tc>
        <w:tc>
          <w:tcPr>
            <w:tcW w:w="236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2800" w:type="dxa"/>
            <w:vAlign w:val="bottom"/>
            <w:tcBorders>
              <w:bottom w:val="single" w:sz="8" w:color="C0C0C0"/>
            </w:tcBorders>
          </w:tcPr>
          <w:p>
            <w:pPr>
              <w:spacing w:after="0"/>
              <w:rPr>
                <w:sz w:val="24"/>
                <w:szCs w:val="24"/>
                <w:color w:val="auto"/>
              </w:rPr>
            </w:pPr>
          </w:p>
        </w:tc>
        <w:tc>
          <w:tcPr>
            <w:tcW w:w="42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document is part of the registration statement that we filed with the SEC using a “shelf” registration process and consists of two parts. The first part is this prospectus supplement, including the documents incorporated by reference, which describes the specific terms of this offering and also adds to and updates information contained in the accompanying prospectus. The second part, the accompanying prospectus, including the documents incorporated by reference, gives more general information, some of which may not be applicable to this offering. Generally, when we refer to the “prospectus” we are referring to both parts combined.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that you should know before investing in our securities. You should also read and consider information in the documents we have referred you to in the sections of this prospectus supplement and the accompanying prospectus entitled “</w:t>
      </w:r>
      <w:r>
        <w:rPr>
          <w:rFonts w:ascii="Times New Roman" w:cs="Times New Roman" w:eastAsia="Times New Roman" w:hAnsi="Times New Roman"/>
          <w:sz w:val="18"/>
          <w:szCs w:val="18"/>
          <w:i w:val="1"/>
          <w:iCs w:val="1"/>
          <w:color w:val="auto"/>
        </w:rPr>
        <w:t>Incorporation of Certain Information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any securities. Our business, financial condition, liquidity, results of operations and prospects may have changed since those dates.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and are incorporated herein by reference, and you may obtain copies of those documents as described below under the sections entitled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and the underwriters are not, making offers to sell or solicitations of offers to buy our securities in any jurisdiction in which an offer or solicitation is not permitted or in which the person making that offer or solicitation is not qualified to do so or to anyone to whom it is unlawful to make an offer or solicitation.</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Neither we nor any of the underwriters have done anything that would permit this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includes our trademarks and trade names, including, without limitation, HUKYNDRA, SIMLANDI, SELARSDI, UZPRUVO, JAMTEKI, USTEKINUMAB BS (F), XBONZA, OSSVI, ZVOGRA, KEFDENSIS, DENOSUMAB BS, GOBIVAZ, GOLIMUMAB BS, MYNZEPLI, AFIVEG, AFLIBERCEPT BS and our logo, which are our property and are protected under applicable intellectual property laws. This prospectus supplement also contains trademarks, trade names and service marks of other companies, which are the property of their respective owners. Solely for convenience, trademarks, trade names and service marks referred to in this prospectus supplement may appear without the ®, ™ or SM symbols, but such references are not intended</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to indicate, in any way, that we or the applicable owner will not assert, to the fullest extent permitted under applicable law, our or its rights or the right of any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all references in this prospectus supplement to “Alvotech,” “the company,” “our company,” “we,” “us” and “our” refer to Alvotech and our consolidated subsidiaries.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697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extLst>
                    </a:blip>
                    <a:srcRect/>
                    <a:stretch>
                      <a:fillRect/>
                    </a:stretch>
                  </pic:blipFill>
                  <pic:spPr bwMode="auto">
                    <a:xfrm>
                      <a:off x="0" y="0"/>
                      <a:ext cx="7136130" cy="669734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or incorporated by reference into this prospectus supplement, and does not contain all of the information that you need to consider in making your investment decision. Before making an investment decision, you should read this entire prospectus supplement and the accompanying prospectus carefully, especially “Risk Factors” and the financial statements and related notes thereto, together with the additional information about us described in the sections entitled “Where You Can Find More Information” and “Incorporation of Certain Information by Reference,” and the documents incorporated by reference in this prospectus supplement. Each of the risk factors could adversely affect our business, operating results and financial condition, as well as adversely affect the value of an investment in our securities. Some of the statements in this prospectus supplement constitute forward-looking statements that involve risks and uncertainties. See “Special Note Regarding Forward-Looking Statements”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vertically integrated biotechnology company focused solely on the development and manufacture of biosimilar medicines for patients worldwide. A biosimilar is a biological medicine made with living cells, taken from plants, animals or bacteria, that is highly similar to and has no clinically meaningful differences from an existing approved biological, or reference product. Much as generics do for off-patent small-molecule drugs, biosimilars provide a cost-effective alternative with no clinically meaningful difference to biologic medicines whose patent exclusivity has expired. Many patient, policy, industry and regulatory organizations share our view that the availability of quality, affordable biosimilars is critical to the long-term sustainability of health systems and medical innovation globally. Cost savings generated by biosimilars can be used to treat more people and to sustain the cost of investment in the next generations of innovative therapies.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aim to improve the health and quality of life of patients around the world, broadening the availability and accessibility of biosimilars by becoming a leading supplier of biosimilars globally. To do this, we have invested over $2 billion to build a comprehensive platform for developing and manufacturing biosimilars at scale. Our vertically integrated platform is designed to enable us to execute the product development and scale-up process in-house: from identifying therapeutic areas and target product candidates with significant unmet patient and market need through research and development, leveraging gold-standard host cell lines, cell-culture processes and Good Manufacturing Practices (“cGMP”) manufacturing, clinical testing, and regulatory approvals. In order to give our products global reach with local expertise, we have formed strategic commercialization partnerships with leading pharmaceutical companies covering global markets. We license our biosimilars intellectual property to our commercialization partners in exchange for development and commercialization milestone payments and royalties on sales.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Developing and manufacturing biosimilars is a time-consuming, capital intensive, complex and historically uncertain undertaking. We currently have five commercialized products approved in major markets: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AVT02, our biosimilar to Humira (adalimumab), has been approved in various major markets including the United States, Canada, the United Kingdom and the European Economic Area. Adalimumab is a tumor necrosis factor (“TNF”)-alpha inhibitor, and is indicated for patients with Rheumatoid Arthritis, Psoriatic Arthritis, Ankylosing Spondylitis, Ulcerative Colitis and Crohn’s Disease. AVT02 is the second largest biosimilar in the United States with a 10% market share of biosimilars.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AVT04, our biosimilar to Stelara (ustekinumab), has been approved for marketing in various major markets including the United States, Canada, the United Kingdom, the European Economic Area and Japan. Ustekinumab is a human interleukin (“IL”)-12 and IL-13 antagonist, and is indicated for patients with Plaque Psoriasis, Psoriatic Arthritis, Crohn’s Disease and Ulcerative Colitis. AVT04 has achieved a 20% market share of biosimilars in Europe.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AVT05 is our biosimilar to Simponi (golimumab) and biosimilar candidate for Simponi Aria (golimumab). Our biosimilar to Simponi (golimumab) has been approved for marketing in the United Kingdom, the European Economic Area and Japan. Golimumab is a TNF inhibitor indicated for the treatment of patients with Rheumatoid Arthritis, Psoriatic Arthritis, Ankylosing Spondylitis and Ulcerative Colitis. Simponi refers to the originator biologic in a prefilled syringe or autoinjector presentation, while Simponi Aria refers to the originator biologic in a vial presentation.</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06" w:right="539" w:bottom="1440" w:gutter="0" w:footer="0" w:header="0"/>
        </w:sectPr>
      </w:pPr>
    </w:p>
    <w:bookmarkStart w:id="7" w:name="page8"/>
    <w:bookmarkEnd w:id="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011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extLst>
                    </a:blip>
                    <a:srcRect/>
                    <a:stretch>
                      <a:fillRect/>
                    </a:stretch>
                  </pic:blipFill>
                  <pic:spPr bwMode="auto">
                    <a:xfrm>
                      <a:off x="0" y="0"/>
                      <a:ext cx="7136130" cy="6011545"/>
                    </a:xfrm>
                    <a:prstGeom prst="rect">
                      <a:avLst/>
                    </a:prstGeom>
                    <a:noFill/>
                  </pic:spPr>
                </pic:pic>
              </a:graphicData>
            </a:graphic>
          </wp:anchor>
        </w:drawing>
        <w:t>AVT06, our biosimilar to Eylea (aflibercept), has been approved for marketing in the United Kingdom, the European Economic Area and Japan. Aflibercept is a vascular endothelial growth factor inhibitor indicated for the treatment of patients with Neovascular (Wet) Age-Related Macular Degeneration, Macular Edema following Retinal Vein Occlusion, Diabetic Macular Edema and Diabetic Retinopathy. We have also enrolled the first patients in a pivotal clinical study of AVT29 (a proposed biosimilar to Eylea HD (aflibercept 8 mg) and anticipate making regulatory submissions in 2026.</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AVT03, our biosimilar to Prolia and Xgeva, both of which contain denosumab, has been approved in the United Kingdom, the European Economic Area and Japan. Denosumab is a RANK ligand inhibitor. Prolia refers to the originator in a pre-filled syringe and Xgeva refers to the originator in a single-dose vial presentation. Prolia is indicated for the treatment of postmenopausal women and men with osteoporosis at a high risk for fracture, glucocorticoid-induced osteoporosis in men and women at high risk for fracture, and to increase bone mass in men and women at high risk for fracture receiving therapy for cancer while Xgeva is indicated for the prevention of skeletal-related events in patients with multiple myeloma and in patients with bone metastases from solid tumors, treatment of hypercalcemia of malignancy refractory to bisphosphonate therapy as well as for the treatment of adults and skeletally mature adolescents with giant cell tumor of bone.</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Market Opportunities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built what we believe to be one of the most valuable biosimilars development pipelines in the industry, comprising more than 30 biosimilar candidates spanning major therapeutic areas, including immunology, oncology, ophthalmology, bone disease, respiratory and hematology, with seven disclosed candidates in early phase development, more than 20 undisclosed programs in early phase development, and late-stage candidate approvals expected through 2026 to 2029.</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our pipeline of more than 30 biosimilar candidates addresses a total addressable market of over $185 billion, based on the combined estimated peak global sales of the relevant originator reference products. The long-term market opportunity for biosimilars is underpinned by several structural tailwinds. According to a survey conducted by the IQVIA Institute in February 2025, 118 biologics are expected to lose patent protection by 2034, and approximately 60% of phase 2 and phase 3 assets are potential biologic medicines. Biologics represent an increasing share of the global pharmaceutical market, growing at a 14% CAGR compared to 5% for non-biologics, with their share of the worldwide market rising from 34% in 2021 to 42% in 2025 as the overall market grew from approximately $1.3 trillion to $1.8 trillion. Within the biosimilars segment specifically, complex biosimilar units are growing at 17%, driven primarily by immunology (53% of units in 2025) and oncology (28%). Geographically, the European Union currently leads the global biosimilar market in adoption, accounting for 47% of complex biosimilar units compared to 37% for the United States. At the same time, the United States and European Union together account for approximately 85% of the global biologics market, comprising both originator biologics and biosimilars, representing a combined $740 billion market, with the U.S. comprising 65% and the EU 21%.</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Within our pipeline, we believe individual biosimilar candidates target some of the most valuable biologic markets globally, with notable addressable markets including approximately $36 billion for AVT32 (a proposed biosimilar to Keytruda® (pembrolizumab)), $6.7 billion for AVT16/AVT80 (a proposed biosimilar to Entyvio® (vedolizumab)), and $3.5 billion for AVT29 (a proposed biosimilar to Eylea HD® (aflibercept 8 mg)), in each case based on the estimated peak global sales of the relevant originator reference product.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FUJIFILM Biotechnologies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May 2026, we announced a strategic manufacturing agreement with FUJIFILM Biotechnologies covering multiple products in our portfolio.</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7545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extLst>
                    </a:blip>
                    <a:srcRect/>
                    <a:stretch>
                      <a:fillRect/>
                    </a:stretch>
                  </pic:blipFill>
                  <pic:spPr bwMode="auto">
                    <a:xfrm>
                      <a:off x="0" y="0"/>
                      <a:ext cx="7136130" cy="7545705"/>
                    </a:xfrm>
                    <a:prstGeom prst="rect">
                      <a:avLst/>
                    </a:prstGeom>
                    <a:noFill/>
                  </pic:spPr>
                </pic:pic>
              </a:graphicData>
            </a:graphic>
          </wp:anchor>
        </w:drawing>
        <w:t>Clinical Update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fourth quarter of 2025, we and our partner received Complete Response Letters (“CRLs”) from the U.S. Food and Drug Administration (“FDA”) regarding our Biologics License Applications (“BLAs” ) for AVT05, AVT06, and AVT03. The CRLs all stated that the FDA had identified deficiencies related to our Reykjavik manufacturing facility following the FDA’s pre-license inspection in July 2025, which must be satisfactorily resolved before these BLAs may be approved. On May 11, 2026, we announced that the FDA completed a routine cGMP surveillance inspection of our manufacturing facility in Reykjavik, Iceland. At the conclusion of the inspection on May 8, 2026, the FDA issued a Form 483.</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a partnership with Teva Pharmaceutical Industries Ltd. (“Teva”), we are responsible for the development and manufacturing of AVT05 and AVT06, while Teva is responsible for commercialization. On June 4, 2026, we announced the resubmission to the FDA of BLAs for AVT05 and AVT06. AVT03 is partnered with Dr. Reddy’s Laboratories Ltd., which, as applicant, was responsible for the U.S. regulatory submission.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resubmissions follow the submission of our response to the FDA’s Post-Application Action Letter (PAAL) related to our Reykjavik manufacturing facility. In addition, we have submitted responses to observations from a routine cGMP surveillance FDA inspection at the facility, completed in May 2026, and have continued to strengthen our quality systems and manufacturing operations as part of our ongoing enhancement program.</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expect the FDA to conduct a six-month review of the resubmitted applications, consistent with the applicable regulatory timelines.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on June 8, 2026, we announced that our BLA for AVT16 has been accepted for review by the FDA. Under a partnership with Teva, we are responsible for development and manufacturing of AVT16, while Teva is responsible for commercialization. We expect a review period of up to 12 months from the date of submission of the BLA. Previously, the European Medicines Agency (EMA) validated our Marketing Authorization Application for AVT16/AVT80 in the European Economic Area.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Suspension of At-the-Market Program</w:t>
      </w:r>
    </w:p>
    <w:p>
      <w:pPr>
        <w:spacing w:after="0" w:line="22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 xml:space="preserve">On June 15, 2026, we notified Jefferies LLC that we were suspending our use of and terminating the prospectus supplement (the “ATM Prospectus Supplement”), related to the potential issuance from time to time of our ordinary shares pursuant to the </w:t>
      </w:r>
      <w:r>
        <w:rPr>
          <w:rFonts w:ascii="Times New Roman" w:cs="Times New Roman" w:eastAsia="Times New Roman" w:hAnsi="Times New Roman"/>
          <w:sz w:val="18"/>
          <w:szCs w:val="18"/>
          <w:color w:val="auto"/>
          <w:highlight w:val="white"/>
        </w:rPr>
        <w:t>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dated June 14, 2024, by and between us and Jefferies LLC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We will not make any sales of our securities pursuant to the Sales Agreement unless and until a new prospectus supplement or a new registration statement is filed. Other than the termination of the ATM Prospectus Supplement, the Sales Agreement remains in full force and effect.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Concurrent Private Placement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15, 2026, certain investors in the European Economic Area indicated an intent to subscribe or purchase up to $ million of our ordinary shares in the concurrent private placement. The shares will be offered solely to professional clients or eligible counterparties falling within article 1(4) of Regulation (EU) 2017/1129, at a price per share equal to the public offering price of our ordinary shares in this offering. Consummation of the concurrent private placement is conditioned on the closing of this offering and the satisfaction of certain other customary conditions, and is expected to occur within seven business days following the closing of this offering. The consummation of this offering is not contingent on the consummation of the concurrent private placement.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one of the subscription/purchase agreements, we expected to grant registration rights to one investor in the concurrent private placement (the “Registration Rights Investor”). Specifically, we expect to be obligated to file a resale registration statement on Form F-3 (or such other available form if Form F-3 is unavailable) with the SEC upon demand by the Registration Rights Investor to register the resale of the shares that it purchases in the concurrent private placement. All expenses in connection with the registration are to be borne by us.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“Concurrent Private Placement” for more information regarding the concurrent private placement and these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is a public limited liability company (société anonyme) incorporated under the laws of the Grand Duchy of Luxembourg on August 23, 2021, having its registered office at 9, Rue de Bitbourg L-1273 Luxembourg, Grand Duchy of Luxembourg and registered with the Luxembourg Trade and Company Register (Registre de Commerce et</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06" w:right="5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4777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extLst>
                    </a:blip>
                    <a:srcRect/>
                    <a:stretch>
                      <a:fillRect/>
                    </a:stretch>
                  </pic:blipFill>
                  <pic:spPr bwMode="auto">
                    <a:xfrm>
                      <a:off x="0" y="0"/>
                      <a:ext cx="7136130" cy="4777105"/>
                    </a:xfrm>
                    <a:prstGeom prst="rect">
                      <a:avLst/>
                    </a:prstGeom>
                    <a:noFill/>
                  </pic:spPr>
                </pic:pic>
              </a:graphicData>
            </a:graphic>
          </wp:anchor>
        </w:drawing>
        <w:t>des Sociétés, Luxembourg) under number B258884. Our agent for service of process in the United States is Alvotech USA Inc., 1602 Village Market Blvd., Suite 280, Leesburg, Virginia 20175.</w:t>
      </w:r>
    </w:p>
    <w:p>
      <w:pPr>
        <w:spacing w:after="0" w:line="162" w:lineRule="exact"/>
        <w:rPr>
          <w:sz w:val="20"/>
          <w:szCs w:val="20"/>
          <w:color w:val="auto"/>
        </w:rPr>
      </w:pPr>
    </w:p>
    <w:p>
      <w:pPr>
        <w:jc w:val="both"/>
        <w:ind w:firstLine="373"/>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information statements and other information regarding issuers that file electronically with the SEC.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principal website address is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We do not incorporate the information contained on, or accessible through, our website into this prospectus supplement, and you should not consider it a part of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report under the U.S. Securities Exchange Act of 1934, as amended (the “Exchange Act”), as a non-U.S. company with foreign private issuer status. In our capacity as a foreign private issuer, we are exempt from certain rules under the Exchange Act that impose certain disclosure obligations and procedural requirements for proxy solicitations under Section 14 of the Exchange Act. In addition, our officers, directors and principal shareholders are exempt from the “short-swing” profit recovery provisions of Section 16 of the Exchange Act. Effective March 18, 2026, directors and officers (excluding principal shareholders) of foreign private issuers became subject to Section 16(a) of the Exchange Act, requiring reporting of equity ownership and transactions of our securities on Forms 3, 4 and 5, which eliminated the prior blanket exemption for such persons. However, pursuant to an order issued on March 5, 2026 by the SEC, directors and officers of certain foreign private issuers, including those subject to substantially comparable home jurisdiction reporting requirements, are exempt from Section 16(a) reporting. We qualify for this exemption, and therefore our directors and officers are not required to comply with Section 16(a) reporting obligations.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take advantage of these reporting exemptions until such time that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these reduced burdens. We have taken advantage of reduced reporting requirements in this prospectus supplement and the documents incorporated in this prospectus supplement. Accordingly, the information contained in this prospectus supplement may be different from the information you receive from our competitors that are public companies, or other public companies in which you have made an investment.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permitted to follow certain Luxembourg corporate governance practices in lieu of certain listing rules of Nasdaq, or Nasdaq Listing Rules. Please see the section entitled “</w:t>
      </w:r>
      <w:r>
        <w:rPr>
          <w:rFonts w:ascii="Times New Roman" w:cs="Times New Roman" w:eastAsia="Times New Roman" w:hAnsi="Times New Roman"/>
          <w:sz w:val="18"/>
          <w:szCs w:val="18"/>
          <w:i w:val="1"/>
          <w:iCs w:val="1"/>
          <w:color w:val="auto"/>
        </w:rPr>
        <w:t>Item 16.G. Corporate Governance</w:t>
      </w:r>
      <w:r>
        <w:rPr>
          <w:rFonts w:ascii="Times New Roman" w:cs="Times New Roman" w:eastAsia="Times New Roman" w:hAnsi="Times New Roman"/>
          <w:sz w:val="18"/>
          <w:szCs w:val="18"/>
          <w:color w:val="auto"/>
        </w:rPr>
        <w:t>” incorporated by reference from our Annual Report for the year ended December 31, 2025, as well as any amendments thereto reflected in our subsequent filings with the SEC.</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10" w:name="page11"/>
    <w:bookmarkEnd w:id="10"/>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offered by us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Option to purchase additional ordinary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Ordinary shares to be outstanding after the offering and the concurrent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markets</w:t>
      </w:r>
    </w:p>
    <w:p>
      <w:pPr>
        <w:spacing w:after="0" w:line="20" w:lineRule="exact"/>
        <w:rPr>
          <w:sz w:val="20"/>
          <w:szCs w:val="20"/>
          <w:color w:val="auto"/>
        </w:rPr>
      </w:pPr>
      <w:r>
        <w:rPr>
          <w:sz w:val="20"/>
          <w:szCs w:val="20"/>
          <w:color w:val="auto"/>
        </w:rPr>
        <w:br w:type="column"/>
      </w:r>
    </w:p>
    <w:p>
      <w:pPr>
        <w:ind w:left="13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-2256790</wp:posOffset>
            </wp:positionH>
            <wp:positionV relativeFrom="paragraph">
              <wp:posOffset>-236855</wp:posOffset>
            </wp:positionV>
            <wp:extent cx="7136130" cy="6148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7136130" cy="614870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ordinary shares</w:t>
      </w:r>
    </w:p>
    <w:p>
      <w:pPr>
        <w:spacing w:after="0" w:line="225"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8"/>
          <w:szCs w:val="18"/>
          <w:color w:val="auto"/>
        </w:rPr>
        <w:t>The underwriters have a 30-day option to purchase up to</w:t>
      </w:r>
      <w:r>
        <w:rPr>
          <w:sz w:val="20"/>
          <w:szCs w:val="20"/>
          <w:color w:val="auto"/>
        </w:rPr>
        <w:tab/>
      </w:r>
      <w:r>
        <w:rPr>
          <w:rFonts w:ascii="Times New Roman" w:cs="Times New Roman" w:eastAsia="Times New Roman" w:hAnsi="Times New Roman"/>
          <w:sz w:val="17"/>
          <w:szCs w:val="17"/>
          <w:color w:val="auto"/>
        </w:rPr>
        <w:t>additional ordinary shares at the 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less underwriting discounts and commissions.</w:t>
      </w:r>
    </w:p>
    <w:p>
      <w:pPr>
        <w:spacing w:after="0" w:line="207"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18"/>
          <w:szCs w:val="18"/>
          <w:color w:val="auto"/>
        </w:rPr>
        <w:t>The offering price is $</w:t>
      </w:r>
      <w:r>
        <w:rPr>
          <w:sz w:val="20"/>
          <w:szCs w:val="20"/>
          <w:color w:val="auto"/>
        </w:rPr>
        <w:tab/>
      </w:r>
      <w:r>
        <w:rPr>
          <w:rFonts w:ascii="Times New Roman" w:cs="Times New Roman" w:eastAsia="Times New Roman" w:hAnsi="Times New Roman"/>
          <w:sz w:val="18"/>
          <w:szCs w:val="18"/>
          <w:color w:val="auto"/>
        </w:rPr>
        <w:t>per ordinary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15, 2026, certain investors in the European Economic Area indicated an intent to subscribe or</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purchase up to $ million of our ordinary shares in the concurrent private placement. The shares will be offered solely to professional clients or eligible counterparties falling within article 1(4) of Regulation (EU) 2017/1129, at a price per share equal to the public offering price of our ordinary shares in this offering. Consummation of the concurrent private placement is conditioned on the closing of this offering and the satisfaction of certain other customary conditions, and is expected to occur within seven business days following the closing of this offering. The consummation of this offering is not contingent on the consummation of the concurrent private placement.</w:t>
      </w:r>
    </w:p>
    <w:p>
      <w:pPr>
        <w:spacing w:after="0" w:line="188" w:lineRule="exact"/>
        <w:rPr>
          <w:sz w:val="20"/>
          <w:szCs w:val="20"/>
          <w:color w:val="auto"/>
        </w:rPr>
      </w:pPr>
    </w:p>
    <w:p>
      <w:pPr>
        <w:ind w:left="540"/>
        <w:spacing w:after="0"/>
        <w:tabs>
          <w:tab w:leader="none" w:pos="2400" w:val="left"/>
        </w:tabs>
        <w:rPr>
          <w:sz w:val="20"/>
          <w:szCs w:val="20"/>
          <w:color w:val="auto"/>
        </w:rPr>
      </w:pPr>
      <w:r>
        <w:rPr>
          <w:rFonts w:ascii="Times New Roman" w:cs="Times New Roman" w:eastAsia="Times New Roman" w:hAnsi="Times New Roman"/>
          <w:sz w:val="18"/>
          <w:szCs w:val="18"/>
          <w:color w:val="auto"/>
        </w:rPr>
        <w:t>ordinary shares, or</w:t>
      </w:r>
      <w:r>
        <w:rPr>
          <w:sz w:val="20"/>
          <w:szCs w:val="20"/>
          <w:color w:val="auto"/>
        </w:rPr>
        <w:tab/>
      </w:r>
      <w:r>
        <w:rPr>
          <w:rFonts w:ascii="Times New Roman" w:cs="Times New Roman" w:eastAsia="Times New Roman" w:hAnsi="Times New Roman"/>
          <w:sz w:val="17"/>
          <w:szCs w:val="17"/>
          <w:color w:val="auto"/>
        </w:rPr>
        <w:t>ordinary shares if the underwriters exercise their option to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ordinary shares in full.</w:t>
      </w:r>
    </w:p>
    <w:p>
      <w:pPr>
        <w:spacing w:after="0" w:line="200" w:lineRule="exact"/>
        <w:rPr>
          <w:sz w:val="20"/>
          <w:szCs w:val="20"/>
          <w:color w:val="auto"/>
        </w:rPr>
      </w:pPr>
    </w:p>
    <w:p>
      <w:pPr>
        <w:spacing w:after="0" w:line="223"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8"/>
          <w:szCs w:val="18"/>
          <w:color w:val="auto"/>
        </w:rPr>
        <w:t>We estimate that we will receive net proceeds from this offering of</w:t>
      </w:r>
      <w:r>
        <w:rPr>
          <w:sz w:val="20"/>
          <w:szCs w:val="20"/>
          <w:color w:val="auto"/>
        </w:rPr>
        <w:tab/>
      </w:r>
      <w:r>
        <w:rPr>
          <w:rFonts w:ascii="Times New Roman" w:cs="Times New Roman" w:eastAsia="Times New Roman" w:hAnsi="Times New Roman"/>
          <w:sz w:val="17"/>
          <w:szCs w:val="17"/>
          <w:color w:val="auto"/>
        </w:rPr>
        <w:t>, approximately</w:t>
      </w:r>
    </w:p>
    <w:p>
      <w:pPr>
        <w:spacing w:after="0" w:line="27" w:lineRule="exact"/>
        <w:rPr>
          <w:sz w:val="20"/>
          <w:szCs w:val="20"/>
          <w:color w:val="auto"/>
        </w:rPr>
      </w:pPr>
    </w:p>
    <w:p>
      <w:pPr>
        <w:spacing w:after="0"/>
        <w:tabs>
          <w:tab w:leader="none" w:pos="1200" w:val="left"/>
          <w:tab w:leader="none" w:pos="3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(or approximately $</w:t>
      </w:r>
      <w:r>
        <w:rPr>
          <w:sz w:val="20"/>
          <w:szCs w:val="20"/>
          <w:color w:val="auto"/>
        </w:rPr>
        <w:tab/>
      </w:r>
      <w:r>
        <w:rPr>
          <w:rFonts w:ascii="Times New Roman" w:cs="Times New Roman" w:eastAsia="Times New Roman" w:hAnsi="Times New Roman"/>
          <w:sz w:val="17"/>
          <w:szCs w:val="17"/>
          <w:color w:val="auto"/>
        </w:rPr>
        <w:t>million if the underwriters’ option to purchase</w:t>
      </w:r>
    </w:p>
    <w:p>
      <w:pPr>
        <w:spacing w:after="0" w:line="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additional shares is exercised in full) from the issuance of our ordinary shares in this offering, after deducting underwriting discounts and commissions and estimated offering expenses payable by us. We estimate we will receive up to an additional $[•] million from the sale of our ordinary shares in the concurrent private placement.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private placement to fund the continued development of our biosimilar assets, as well as working capital and general corporate purposes, which may include, among others, intellectual property protection and enforcement, commercial expenditures, capital expenditures, acquisitions or collaborations, pre-clinical and clinical development of our product candidates, research and development and product development, pre-commercialization activities and repayment or refinancing of indebtedness or other corporate borrowings. See “Use of Proceeds” on page S-14 of this prospectus supplement.</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significant risks. See the information under the heading “Risk Factors” beginning on page S-7 of this prospectus supplement, on page 5 of the accompanying prospectus and in the documents incorporated by reference into this prospectus supplement for a discussion of factors you should carefully consider before deciding to invest in our ordinary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ordinary shares are traded on Nasdaq and Nasdaq Iceland Main Market under the symbol “ALVO.”</w:t>
      </w:r>
    </w:p>
    <w:p>
      <w:pPr>
        <w:spacing w:after="0" w:line="211" w:lineRule="exact"/>
        <w:rPr>
          <w:sz w:val="20"/>
          <w:szCs w:val="20"/>
          <w:color w:val="auto"/>
        </w:rPr>
      </w:pPr>
    </w:p>
    <w:p>
      <w:pPr>
        <w:sectPr>
          <w:pgSz w:w="11900" w:h="16838" w:orient="portrait"/>
          <w:cols w:equalWidth="0" w:num="2">
            <w:col w:w="3060" w:space="300"/>
            <w:col w:w="7480"/>
          </w:cols>
          <w:pgMar w:left="520" w:top="306" w:right="539" w:bottom="1440" w:gutter="0" w:footer="0" w:header="0"/>
        </w:sectPr>
      </w:pP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06" w:right="539" w:bottom="1440" w:gutter="0" w:footer="0" w:header="0"/>
          <w:type w:val="continuous"/>
        </w:sectPr>
      </w:pPr>
    </w:p>
    <w:bookmarkStart w:id="11" w:name="page12"/>
    <w:bookmarkEnd w:id="11"/>
    <w:p>
      <w:pPr>
        <w:ind w:firstLine="32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405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136130" cy="3405505"/>
                    </a:xfrm>
                    <a:prstGeom prst="rect">
                      <a:avLst/>
                    </a:prstGeom>
                    <a:noFill/>
                  </pic:spPr>
                </pic:pic>
              </a:graphicData>
            </a:graphic>
          </wp:anchor>
        </w:drawing>
        <w:t>The number of ordinary shares outstanding after this offering and the concurrent private placement is based on 312,153,164 shares outstanding as of March 31, 2026 and excludes:</w:t>
      </w:r>
    </w:p>
    <w:p>
      <w:pPr>
        <w:spacing w:after="0" w:line="162" w:lineRule="exact"/>
        <w:rPr>
          <w:sz w:val="20"/>
          <w:szCs w:val="20"/>
          <w:color w:val="auto"/>
        </w:rPr>
      </w:pPr>
    </w:p>
    <w:p>
      <w:pPr>
        <w:ind w:left="640" w:hanging="315"/>
        <w:spacing w:after="0"/>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9,943,434 outstanding warrants to purchase ordinary shares at an exercise price of $11.50 per share as of March 31, 2026;</w:t>
      </w:r>
    </w:p>
    <w:p>
      <w:pPr>
        <w:spacing w:after="0" w:line="224"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4,308,239 ordinary shares issuable upon vesting of restricted stock units granted to certain employees, executive officers and directors under the Alvotech Management Incentive Plan as of March 31, 2026;</w:t>
      </w:r>
    </w:p>
    <w:p>
      <w:pPr>
        <w:spacing w:after="0" w:line="162"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265,241 ordinary shares issuable upon exercise of outstanding stock options granted to certain employees, executive officers and directors underthe Alvotech Management Incentive Plan as of March 31, 2026;</w:t>
      </w:r>
    </w:p>
    <w:p>
      <w:pPr>
        <w:spacing w:after="0" w:line="162" w:lineRule="exact"/>
        <w:rPr>
          <w:rFonts w:ascii="Arial" w:cs="Arial" w:eastAsia="Arial" w:hAnsi="Arial"/>
          <w:sz w:val="18"/>
          <w:szCs w:val="18"/>
          <w:b w:val="1"/>
          <w:bCs w:val="1"/>
          <w:color w:val="auto"/>
        </w:rPr>
      </w:pPr>
    </w:p>
    <w:p>
      <w:pPr>
        <w:ind w:left="640" w:hanging="315"/>
        <w:spacing w:after="0"/>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7,561,141 ordinary shares reserved for future issuance under the Alvotech Management Incentive Plan as of March 31, 2026;</w:t>
      </w:r>
    </w:p>
    <w:p>
      <w:pPr>
        <w:spacing w:after="0" w:line="224" w:lineRule="exact"/>
        <w:rPr>
          <w:rFonts w:ascii="Arial" w:cs="Arial" w:eastAsia="Arial" w:hAnsi="Arial"/>
          <w:sz w:val="18"/>
          <w:szCs w:val="18"/>
          <w:b w:val="1"/>
          <w:bCs w:val="1"/>
          <w:color w:val="auto"/>
        </w:rPr>
      </w:pPr>
    </w:p>
    <w:p>
      <w:pPr>
        <w:ind w:left="640" w:hanging="315"/>
        <w:spacing w:after="0"/>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19,165,000 ordinary shares issuable upon vesting of certain earn-out shares as of March 31, 2026; and</w:t>
      </w:r>
    </w:p>
    <w:p>
      <w:pPr>
        <w:spacing w:after="0" w:line="224"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ordinary shares issuable upon conversion of the 6.875% senior unsecured convertible bonds due December 22, 2030, with an initial conversion price of $5.9224 per share, under which $69.9 million aggregate principal amount was outstanding as of March 31, 2026.</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Except as otherwise noted, the information in this prospectus supplement assumes:</w:t>
      </w:r>
    </w:p>
    <w:p>
      <w:pPr>
        <w:spacing w:after="0" w:line="225" w:lineRule="exact"/>
        <w:rPr>
          <w:sz w:val="20"/>
          <w:szCs w:val="20"/>
          <w:color w:val="auto"/>
        </w:rPr>
      </w:pPr>
    </w:p>
    <w:p>
      <w:pPr>
        <w:ind w:left="640" w:hanging="315"/>
        <w:spacing w:after="0"/>
        <w:tabs>
          <w:tab w:leader="none" w:pos="64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 exercise of warrants or vesting of equity awards subsequent to March 31, 2026; and</w:t>
      </w:r>
    </w:p>
    <w:p>
      <w:pPr>
        <w:spacing w:after="0" w:line="224" w:lineRule="exact"/>
        <w:rPr>
          <w:sz w:val="20"/>
          <w:szCs w:val="20"/>
          <w:color w:val="auto"/>
        </w:rPr>
      </w:pPr>
    </w:p>
    <w:p>
      <w:pPr>
        <w:ind w:left="320"/>
        <w:spacing w:after="0"/>
        <w:tabs>
          <w:tab w:leader="none" w:pos="620" w:val="left"/>
          <w:tab w:leader="none" w:pos="64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no exercise of the underwriters’ option to purchase up to an additional</w:t>
      </w:r>
      <w:r>
        <w:rPr>
          <w:sz w:val="20"/>
          <w:szCs w:val="20"/>
          <w:color w:val="auto"/>
        </w:rPr>
        <w:tab/>
      </w:r>
      <w:r>
        <w:rPr>
          <w:rFonts w:ascii="Times New Roman" w:cs="Times New Roman" w:eastAsia="Times New Roman" w:hAnsi="Times New Roman"/>
          <w:sz w:val="18"/>
          <w:szCs w:val="18"/>
          <w:color w:val="auto"/>
        </w:rPr>
        <w:t>ordinary shares.</w:t>
      </w: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ordinary shares involves a high degree of risk. You should carefully review the risks and uncertainties described below as well as those discussed under the section captioned “Item 3. Key Information—D. Risk Factors” contained in our Annual Report on Form 20-F for the year ended December 31, 2025, which is incorporated by reference into this prospectus supplement and the accompanying prospectus, in their entirety, together with other information in this prospectus supplement, the accompanying prospectus, the information and documents incorporated by reference herein and therein. The risks and uncertainties previously described and discussed below are not the only ones we face. Additional risks and uncertainties not presently known to us, or that we currently see as immaterial, may also harm our business. If any of these risks actually occurs, our business, financial condition, results of operation or cash flow could be adversely affected. This could cause the trading price of our ordinary shares to decline, resulting in a loss of all or part of your investment. Additional risks and uncertainties of which we are not presently aware or that we currently deem immaterial could also affect our business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the Concurrent Private Placement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ordinary shares in this offering, you will experience substantial and immediate dilution.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price of our ordinary shares in this offering may be substantially higher than the net tangible book value per share of our ordinary shares. Therefore, if you purchase ordinary shares stock in this offering, you will pay a price per share that substantially exceeds our net tangible book value per</w:t>
      </w:r>
    </w:p>
    <w:p>
      <w:pPr>
        <w:jc w:val="both"/>
        <w:spacing w:after="0" w:line="250" w:lineRule="auto"/>
        <w:rPr>
          <w:sz w:val="20"/>
          <w:szCs w:val="20"/>
          <w:color w:val="auto"/>
        </w:rPr>
      </w:pPr>
      <w:r>
        <w:rPr>
          <w:rFonts w:ascii="Times New Roman" w:cs="Times New Roman" w:eastAsia="Times New Roman" w:hAnsi="Times New Roman"/>
          <w:sz w:val="18"/>
          <w:szCs w:val="18"/>
          <w:color w:val="auto"/>
        </w:rPr>
        <w:t>share after this offering and the concurrent private placement. Based on an offering price of $ per ordinary share, you will experience immediate dilution of $ per ordinary share, representing the difference between our as adjusted net tangible book value per share after giving effect to this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offering and the concurrent private placement and the offering price. To the extent outstanding options or warrants are exercised, you will incur further dilution. See the section titled “Dilution” below for a more detailed illustration of the dilution you would incur if you purchase ordinary shares in this offering.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the exercise of warrants or vesting of equity awards.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in the future offer additional ordinary shares or other securities convertible into or exchangeable for our ordinary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ordinary shares, or securities convertible or exchangeable into ordinary shares, in future transactions may be higher or lower than the price per share paid by investors in this offering.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have issued warrants to purchase our ordinary shares and awarded equity awards under our Alvotech Management Incentive, which may result in the issuance of a substantial number of additional ordinary shares upon their exercise or vesting, which shares are eligible for, or may become eligible for, unrestricted resale. If the holders of outstanding warrants to acquire ordinary shares exercise those warrants at prices below the public offering price, you will incur further dilution.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issue additional securities convertible into or exchangeable for our ordinary shares in the future. Any sales of such shares in the public market or otherwise could reduce the prevailing market price of our ordinary shares, as well as make future sales of ordinary shares by us less attractive or not feasible, thus limiting our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ordinary shares by existing shareholders could depress the market price of the ordinary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directors, officers and certain of our shareholders have agreed with the underwriters not sell, or indicate an intent to sell, substantial amounts of ordinary shares in the public market for a period of 90 days following the date of this offering, subject to specified exceptions. After the 90-day contractual lock-up and other legal restrictions on resale discussed in this prospectus supplement lapse, the trading price of our ordinary shares could decline significantly and could decline below the offering price upon sale of our shares by these holders. Upon completion of this offering,</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number of ordinary shares outstanding as of March 31, 2026, we will have outstanding ordinary shares, of which will be subject to a contractual restriction on selling for up to 90 days, subject to customary exceptions. The underwriters may waive the lock-up agreements entered into in connection with this offering prior to the expiration thereof in their sole discretion. See “Underwriting.”</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board of directors will have broad discretion in the use of the net proceeds we receive in this offering and the concurrent private placement and might not apply the proceeds in ways that increase the value of your investment.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and board of directors will have broad discretion over the use of our net proceeds from this offering and the concurrent private placement, and you will be relying on their judgment regarding the application of these proceeds, which can be different from that contemplated as of the date of this prospectus supplement. Our management and board of directors might not apply our net proceeds in ways that ultimately increase the value of your investment and we might not be able to yield a significant return, if any, on any investment of these net proceeds. Our failure to apply these funds effectively could have a material adverse effect on our business, delay the development of our products and cause the price of our ordinary shares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ordinary shares are traded on more than one market and this may result in price variations.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ordinary shares are listed on both the Nasdaq in the United States and Nasdaq Iceland Main Market in Iceland, and our SDRs are listed on the Nasdaq Stockholm Main Market in Sweden. The trading of ordinary shares and SDRs in these markets takes place in different currencies (U.S. dollars on Nasdaq, Icelandic Krona on Nasdaq Iceland Main Market, and Swedish Krona on Nasdaq Stockholm Main Market), at different times (resulting from different time zones, different trading days and different public holidays in the United States, Iceland, and Sweden) and with different settlement mechanics. The trading prices of ordinary shares and SDRs on these markets may differ due to these and other factors. Any decrease in the price of ordinary shares on Nasdaq Iceland Main Market could cause a decrease in the trading price of ordinary shares on Nasdaq, or the trading price of SDRs on Nasdaq Stockholm Main Market, and vice versa. Investors could seek to sell or buy ordinary shares or SDRs to take advantage of any price differences between the markets through a practice referred to as arbitrage. Any arbitrage activity could create unexpected volatility in both the trading prices on one exchange and ordinary shares or SDRs available for trading on the other exchange. Further, the triple listing of ordinary shares and SDRs may reduce the liquidity of these securities in one or both markets and may adversely affect the development of an active trading market for ordinary shares in the United States.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Regulators may challenge our critical accounting estimates which could lead to the need to change our accounting practices and restate our historical financial statements.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financial statements are prepared in accordance with IFRS Accounting Standards™ (“IFRS”) as issued by the International Accounting Standards Board (“IASB”), which comprise all standards and interpretations approved by the IASB, and as adopted by the European Union. The preparation of IFRS-compliant financial statements requires the use of critical accounting judgments and material estimates to be made by us that involve a high degree of complexity and uncertainty. These estimates and judgments include, but are not limited to, the recognition of revenue, the valuations of derivative financial liabilities, the valuation of restricted share units, and the valuation of deferred tax assets.</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Regulatory bodies, including the SEC and the </w:t>
      </w:r>
      <w:r>
        <w:rPr>
          <w:rFonts w:ascii="Times New Roman" w:cs="Times New Roman" w:eastAsia="Times New Roman" w:hAnsi="Times New Roman"/>
          <w:sz w:val="18"/>
          <w:szCs w:val="18"/>
          <w:i w:val="1"/>
          <w:iCs w:val="1"/>
          <w:color w:val="auto"/>
        </w:rPr>
        <w:t>Luxembourg Commission de Surveillance du Secteur Financier</w:t>
      </w:r>
      <w:r>
        <w:rPr>
          <w:rFonts w:ascii="Times New Roman" w:cs="Times New Roman" w:eastAsia="Times New Roman" w:hAnsi="Times New Roman"/>
          <w:sz w:val="18"/>
          <w:szCs w:val="18"/>
          <w:color w:val="auto"/>
        </w:rPr>
        <w:t xml:space="preserve"> (the “CSSF”), regularly review companies’ annual reports and financial statements that are filed in their jurisdictions and, in doing so, will assess the accounting practices and estimates used by companies listed in the United States and European Union. These regulators have the authority to challenge our accounting estimates and judgments if they deem it appropriate to do so.</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color w:val="auto"/>
        </w:rPr>
        <w:t>If the competent regulators were to challenge our critical accounting estimates, it could lead to:</w:t>
      </w:r>
    </w:p>
    <w:p>
      <w:pPr>
        <w:spacing w:after="0" w:line="225" w:lineRule="exact"/>
        <w:rPr>
          <w:sz w:val="20"/>
          <w:szCs w:val="20"/>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Accounting Practices: We may be required to adopt different accounting policies or practices, which could affect our reported financial results and may not be in line with our historical accounting practices.</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Restatements of Financial Statements: Such challenges, if concluded to represent misstatements, could lead to restatements of our previously issued financial statements, which may have adverse effects on our financial condition, operating results, and stock price.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Increased Compliance Costs: Addressing regulatory challenges and implementing changes in accounting practices could lead to increased compliance costs and require additional resources, which could adversely affect our financial performance.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Reputational Damage: Regulatory scrutiny and the resulting changes in accounting practices could negatively impact our reputation and investor confidence, potentially affecting our market value and access to capital.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continuously review and update our accounting practices to ensure compliance with applicable regulations and accounting standards, there can be no assurance that we will not face regulatory challenges and that any changes in accounting estimates resulting will not have a material adverse effect on our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and difficulties with the closing of the concurrent private placement and no assurance can be given that closing will take place on the timeline currently anticipated.</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failure to close the concurrent private placement could adversely impact our future liquidity and our financial condition. On June 15, 2026, certain</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in the European Economic Area indicated an intent to subscribe or purchase up to $ million of our ordinary shares in the concurrent private placement. The closing of the concurrent private placement is subject to customary closing conditions, including the closing of this offering, and is expected to take place on within seven business days following the closing of this offering. We may experience delays and difficulties with the closing of the concurrent private placement, and no assurance can be given that closing will take place on the timeline currently anticipated. Some of the conditions to closing are outside of our control and it is possible that not all of the closing conditions to the concurrent private placement will be satisfied or that we will not receive the entire amount of expected proceeds on the timeline currently anticipated. The failure to close the concurrent private placement could adversely impact our future liquidity and our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Advancement and Approval of Our Product Candidates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received Complete Response Letters from the FDA on our Biologics License Applications for AVT03, AVT05, and AVT06, and if our resubmission of our BLAs for AVT03, AVT05, and AVT06 is not approved in accordance with our expected timeframe, our business could be materially and adversely affected.</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January 2025, the FDA accepted our BLA for AVT05 as a proposed biosimilar to Simponi / Simponi Aria (golimumab) for the treatment of patients with inflammatory conditions, including rheumatoid arthritis, psoriatic arthritis, ankylosing spondylitis, and ulcerative colitis.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February 2025, the FDA accepted our BLA for AVT06 as a proposed biosimilar to Eylea (aflibercept) for the treatment of patients with neovascular (wet) age related macular degeneration (AMD), macular edema, and diabetic retinopathy.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March 2025, the FDA accepted our partner’s BLA for AVT03 as a proposed biosimilar to Prolia (denosumab) for the treatment of osteoporosis in women after menopause who are at high risk for bone fracture and Xgeva (denosumab) a prescription biologic medicine used to prevent fracture, spinal cord compression, or the need for radiation or surgery to bone in patients with multiple myeloma and in patients with bone metastases from solid tumors.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2025, we and our partner received CRLs from the FDA regarding, respectively, the BLAs for AVT05, AVT06, and AVT03. The CRLs all stated that the FDA had identified deficiencies related to our</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Reykjavik manufacturing facility following the FDA’s pre license inspection in July 2025, which must be satisfactorily resolved before these BLAs may be approved. The FDA did not identify any other deficiencies with the applications.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4, 2026, we announced that we had resubmitted our BLAs for AVT05 and AVT06. Prior to approval of such BLAs, the FDA may decide to re-inspect our Reykjavik manufacturing facility. If the FDA re-inspects our facility and does not agree with our assessment that the previously identified deficiencies have been adequately resolved, or were to identify additional deficiencies, the approval of AVT05 and AVT06 in the United Sates may be further delayed, which could have a material adverse effect on our business, financial condition, and results of operations and may cause the market price of our securities to decline.</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within the meaning of Section 27A of the Securities Act of 1933, as amended, and Section 21E of the Exchange Act, that are based on our management’s beliefs and assumptions and on information currently available to our management. Discussions containing these forward-looking statements may be found, among other places, in the sections titled “Information on the Company,” “Risk Factors” and “Operating and Financial Review and Prospects” incorporated by reference from our most recent Annual Report on Form 20-F and our interim financial reports filed on Form 6-K filed with the SEC.</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statements other than present and historical facts and conditions contained in this prospectus supplement, including statements regarding our future results of operations and financial positions, business strategy, plans and our objectives for future operations, are forward-looking statements. When used in this prospectus supplement, the words “anticipate,” “believe,” “can,” “could,” “would,” “estimate,” “expect,” “intend,” “is designed to,” “may,” “might,” “plan,” “potential,” “project,” “predict,” “objective,” “should,” “continue,” “ongoing,” “target,” “possible,” or the negative of these and similar expressions identify forward-looking statements. Forward-looking statements include, but are not limited to, statements about:</w:t>
      </w:r>
    </w:p>
    <w:p>
      <w:pPr>
        <w:spacing w:after="0" w:line="18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 and projections relating to our competitors and industry, including the estimated growth of the industry;</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and our ability to obtain and maintain regulatory approval for our product candidates of the U.S. Food and Drug Administration (the “FDA”), the European Medicines Agency, the Medicines and Healthcare products Regulatory Agency, European Commission and comparable national or regional authorities;</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the announcement of clinical study results, the commencement of patient studies, regulatory applications, approvals and market launches;</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regulatory review and interactions, including the timing and results of the facility inspection by the FDA or other foreign regulatory authorities;</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our ability to address the deficiencies identified in the Complete Response Letters (“CRLs”) on our Biologics License Applications for AVT03, AVT05, and AVT06 we received from the FDA;</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commercialization of our products and product candidates, if approved for commercial use;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financial performance;</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implementation of our business model and changes in our strategy, future operations, financial position, estimated revenues and losses, projected costs, prospects and plans;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strategic advantages and the impact those advantages will have on future financial and operational results;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expansion plans and opportunities;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grow our business in a cost-effective manner;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implementation, market acceptance and success of our business model;</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and projections relating to our competitors and industry, including the estimated growth of the industry;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approach and goals with respect to technology;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applicable laws or regulations;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with respect to ongoing and potential litigation and regulatory proceedings;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maintain the listing of our ordinary shares, with a nominal value of $0.01 per share, or warrants on Nasdaq, Nasdaq Iceland Main Market and our SDRs on the Nasdaq Stockholm Market;</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comply with all applicable laws and regulations;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successfully launch our products in certain markets after obtaining regulatory approval for such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estimates of expenses and profitability;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raise additional adequate funds through equity or debt financing;</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identify and successfully develop new product candidates;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relationship with third party providers for clinical and non-clinical studies, supplies, and manufacturing of our products;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manage our manufacturing risks;</w:t>
      </w:r>
    </w:p>
    <w:p>
      <w:pPr>
        <w:spacing w:after="0" w:line="224" w:lineRule="exact"/>
        <w:rPr>
          <w:rFonts w:ascii="Arial" w:cs="Arial" w:eastAsia="Arial" w:hAnsi="Arial"/>
          <w:sz w:val="18"/>
          <w:szCs w:val="18"/>
          <w:b w:val="1"/>
          <w:bCs w:val="1"/>
          <w:color w:val="auto"/>
        </w:rPr>
      </w:pPr>
    </w:p>
    <w:p>
      <w:pPr>
        <w:jc w:val="both"/>
        <w:ind w:left="660" w:right="20" w:hanging="328"/>
        <w:spacing w:after="0" w:line="265"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impact of worsening or unpredictable macroeconomic conditions, including rising inflation, interest rates and cost of energy, and general market conditions, global geopolitical tension, including regions affected by Russia’s invasion of Ukraine and conflicts in the Middle East, or public health emergencies, on the business, financial position, strategy and anticipated milestones;</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relationship with third-party partners for the commercialization of our product candidates;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attract and hire qualified personnel.</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closing of the concurrent private placement;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use of proceeds from this offering and the concurrent private placement;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other risks and uncertainties, including those listed in this prospectus supplement in the section entitled “Risk Factors.”</w:t>
      </w:r>
    </w:p>
    <w:p>
      <w:pPr>
        <w:spacing w:after="0" w:line="2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refer to the section entitled “Risk Factors” contained in this prospectus supplement, and under similar headings in the other documents that are incorporated by reference into this prospectus supplement, for a discussion of important factors that may cause our actual results to differ materially from those expressed or implied by our forward-looking statements. As a result of these factors, we cannot assure you that the forward-looking statements in this prospectus supplement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required by law, we undertake no obligation to publicly update any forward-looking statements, whether as a result of new information, future events or otherwise. You should, therefore, not rely on these forward-looking statements as representing our views as of any date subsequent to the date of this prospectus supplement.</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prospectus supplement and the documents that we reference in this prospectus supplement completely and with the understanding that our actual future results may be materially different from what we expect. We qualify all of our forward-looking statements by these cautionary statements.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prospectus supplement is generally reliable and we are responsible for the accuracy of the information, such information is inherently imprecise.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from the offering of approximately $ million, based on the public offering price of $ per ordinary share, or up to $ million if the underwriters exercise in full their option to purchase up to an additional ordinary</w:t>
      </w:r>
    </w:p>
    <w:p>
      <w:pPr>
        <w:jc w:val="both"/>
        <w:spacing w:after="0" w:line="260" w:lineRule="auto"/>
        <w:rPr>
          <w:sz w:val="20"/>
          <w:szCs w:val="20"/>
          <w:color w:val="auto"/>
        </w:rPr>
      </w:pPr>
      <w:r>
        <w:rPr>
          <w:rFonts w:ascii="Times New Roman" w:cs="Times New Roman" w:eastAsia="Times New Roman" w:hAnsi="Times New Roman"/>
          <w:sz w:val="18"/>
          <w:szCs w:val="18"/>
          <w:color w:val="auto"/>
        </w:rPr>
        <w:t>shares, after deducting underwriting commissions and estimated offering expenses payable by us. We estimate we will receive an additional $[•] million from the issuance of our ordinary shares in the concurrent private placement after deducting estimated private placement expenses payable by us.</w:t>
      </w:r>
    </w:p>
    <w:p>
      <w:pPr>
        <w:spacing w:after="0" w:line="1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and the concurrent private placement to fund the continued development of our biosimilar assets, as well as working capital and general corporate purposes, which may include, among others, intellectual property protection and enforcement, commercial expenditures, capital expenditures, acquisitions or collaborations, pre-clinical and clinical development of our product candidates, research and development and product development, pre-commercialization activities and repayment or refinancing of indebtedness or other corporate borrowings. We may also use a portion of the net proceeds to invest in or acquire businesses or technologies that we believe are complementary to our own, although we have no current plans, commitments or agreements with respect to any acquisitions as of the date of this prospectus supplement. We have not determined the amount of net proceeds to be used specifically for the foregoing purposes. As a result, our management will have broad discretion in the allocation of the net proceeds from this offering.</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expected use of net proceeds to us from this offering and the concurrent private placement represents our current intentions based upon our present plans and business condition. The amount and timing of our actual expenditures will depend upon numerous factors, including the results of our research and development efforts, the timing and success of preclinical studies, our ongoing clinical trials or clinical trials we may commence in the future and the timing of regulatory submissions.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the offering and the concurrent private placement, we intend to invest the net proceeds in a variety of capital preservation investments, including short-term, investment-grade, interest-bearing instruments.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48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never declared or paid any dividends on our ordinary shares.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our annual net profits, at least 5% shall each year be allocated to the reserve required by applicable laws (the “Legal Reserve”). That allocation to the Legal Reserve will cease to be required as soon and as long as the Legal Reserve amounts to 10% of the amount of our share capital. The legal reserve is not available for distribution.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anticipate paying any cash dividends in the foreseeable future. We intend to retain all available funds and any future earnings to fund the development and expansion of our business and product candidates.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Luxembourg law of August 10, 1915, on commercial companies, as amended (“Luxembourg Company Law”), the general meeting of shareholders, by a simple majority vote and based on the recommendation of our board of directors,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together with carried forward profits, distributable reserves or share premium to the shareholders, each ordinary share entitling to the same proportion in such distributions.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may resolve that we pay out an interim dividend to our shareholders, subject to the conditions of article 461-3 of the Luxembourg Company Law and Alvotech’s amended and restated articles of association. Our Board of Directors shall set the amount and the date of payment of the interim dividend.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share premium, assimilated premium or other distributable reserve may be freely distributed to the shareholders subject to the provisions of the Luxembourg Company Law and our articles of association.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Distributions may be lawfully declared and paid only if our net profits and/or distributable reserves are sufficient under Luxembourg Company Law.</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Thus, in case of a dividend payment, each shareholder is entitled to receive a dividend right pro rata according to his or her respective shareholding. The dividend entitlement lapses upon the expiration of a five-year prescription period from the date of the dividend distribution. The unclaimed dividends return to our accounts. However, we do not anticipate paying cash dividends on our ordinary shares in the foreseeable future.</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2026:</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an actual basis;</w:t>
      </w:r>
    </w:p>
    <w:p>
      <w:pPr>
        <w:spacing w:after="0" w:line="224" w:lineRule="exact"/>
        <w:rPr>
          <w:sz w:val="20"/>
          <w:szCs w:val="20"/>
          <w:color w:val="auto"/>
        </w:rPr>
      </w:pPr>
    </w:p>
    <w:p>
      <w:pPr>
        <w:ind w:left="340"/>
        <w:spacing w:after="0"/>
        <w:tabs>
          <w:tab w:leader="none" w:pos="640" w:val="left"/>
          <w:tab w:leader="none" w:pos="65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on an as adjusted basis, giving effect to (1) the issuance and sale of</w:t>
      </w:r>
      <w:r>
        <w:rPr>
          <w:sz w:val="20"/>
          <w:szCs w:val="20"/>
          <w:color w:val="auto"/>
        </w:rPr>
        <w:tab/>
      </w:r>
      <w:r>
        <w:rPr>
          <w:rFonts w:ascii="Times New Roman" w:cs="Times New Roman" w:eastAsia="Times New Roman" w:hAnsi="Times New Roman"/>
          <w:sz w:val="18"/>
          <w:szCs w:val="18"/>
          <w:color w:val="auto"/>
        </w:rPr>
        <w:t>ordinary shares in this offering, at the public offering price of</w:t>
      </w:r>
    </w:p>
    <w:p>
      <w:pPr>
        <w:spacing w:after="0" w:line="27" w:lineRule="exact"/>
        <w:rPr>
          <w:sz w:val="20"/>
          <w:szCs w:val="20"/>
          <w:color w:val="auto"/>
        </w:rPr>
      </w:pPr>
    </w:p>
    <w:p>
      <w:pPr>
        <w:ind w:left="1200" w:hanging="544"/>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after deducting the underwriting discounts and commissions and estimated offering expenses payable by us; and (2) our issuance</w:t>
      </w:r>
    </w:p>
    <w:p>
      <w:pPr>
        <w:spacing w:after="0" w:line="9" w:lineRule="exact"/>
        <w:rPr>
          <w:sz w:val="20"/>
          <w:szCs w:val="20"/>
          <w:color w:val="auto"/>
        </w:rPr>
      </w:pPr>
    </w:p>
    <w:p>
      <w:pPr>
        <w:ind w:left="660"/>
        <w:spacing w:after="0" w:line="260" w:lineRule="auto"/>
        <w:rPr>
          <w:sz w:val="20"/>
          <w:szCs w:val="20"/>
          <w:color w:val="auto"/>
        </w:rPr>
      </w:pPr>
      <w:r>
        <w:rPr>
          <w:rFonts w:ascii="Times New Roman" w:cs="Times New Roman" w:eastAsia="Times New Roman" w:hAnsi="Times New Roman"/>
          <w:sz w:val="18"/>
          <w:szCs w:val="18"/>
          <w:color w:val="auto"/>
        </w:rPr>
        <w:t>and sale of ordinary shares in the concurrent private placement at the public offering price per ordinary share, and after application of the net proceeds as set forth under “Use of Proceeds.”</w:t>
      </w:r>
    </w:p>
    <w:p>
      <w:pPr>
        <w:spacing w:after="0" w:line="1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other sections of this prospectus supplement, the accompanying prospectus and any documents that they incorporate by reference, including our consolidated financial statements and the related notes.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(in USD thousands)</w:t>
            </w:r>
          </w:p>
        </w:tc>
        <w:tc>
          <w:tcPr>
            <w:tcW w:w="154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E5FFFF"/>
            </w:tcBorders>
            <w:vMerge w:val="continue"/>
          </w:tcPr>
          <w:p>
            <w:pPr>
              <w:spacing w:after="0"/>
              <w:rPr>
                <w:sz w:val="12"/>
                <w:szCs w:val="12"/>
                <w:color w:val="auto"/>
              </w:rPr>
            </w:pPr>
          </w:p>
        </w:tc>
        <w:tc>
          <w:tcPr>
            <w:tcW w:w="1540" w:type="dxa"/>
            <w:vAlign w:val="bottom"/>
            <w:tcBorders>
              <w:bottom w:val="single" w:sz="8" w:color="auto"/>
            </w:tcBorders>
          </w:tcPr>
          <w:p>
            <w:pPr>
              <w:ind w:left="10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40" w:type="dxa"/>
            <w:vAlign w:val="bottom"/>
            <w:tcBorders>
              <w:bottom w:val="single" w:sz="8" w:color="auto"/>
            </w:tcBorders>
          </w:tcPr>
          <w:p>
            <w:pPr>
              <w:spacing w:after="0"/>
              <w:rPr>
                <w:sz w:val="12"/>
                <w:szCs w:val="12"/>
                <w:color w:val="auto"/>
              </w:rPr>
            </w:pPr>
          </w:p>
        </w:tc>
        <w:tc>
          <w:tcPr>
            <w:tcW w:w="200" w:type="dxa"/>
            <w:vAlign w:val="bottom"/>
            <w:tcBorders>
              <w:bottom w:val="single" w:sz="8" w:color="E5FFFF"/>
            </w:tcBorders>
          </w:tcPr>
          <w:p>
            <w:pPr>
              <w:spacing w:after="0"/>
              <w:rPr>
                <w:sz w:val="12"/>
                <w:szCs w:val="12"/>
                <w:color w:val="auto"/>
              </w:rPr>
            </w:pPr>
          </w:p>
        </w:tc>
        <w:tc>
          <w:tcPr>
            <w:tcW w:w="2480" w:type="dxa"/>
            <w:vAlign w:val="bottom"/>
            <w:tcBorders>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209"/>
        </w:trPr>
        <w:tc>
          <w:tcPr>
            <w:tcW w:w="6080" w:type="dxa"/>
            <w:vAlign w:val="bottom"/>
            <w:shd w:val="clear" w:color="auto" w:fill="E5FFFF"/>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shd w:val="clear" w:color="auto" w:fill="E5FFFF"/>
          </w:tcPr>
          <w:p>
            <w:pPr>
              <w:spacing w:after="0"/>
              <w:rPr>
                <w:sz w:val="18"/>
                <w:szCs w:val="18"/>
                <w:color w:val="auto"/>
              </w:rPr>
            </w:pPr>
          </w:p>
        </w:tc>
        <w:tc>
          <w:tcPr>
            <w:tcW w:w="9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63,832</w:t>
            </w:r>
          </w:p>
        </w:tc>
        <w:tc>
          <w:tcPr>
            <w:tcW w:w="200" w:type="dxa"/>
            <w:vAlign w:val="bottom"/>
            <w:shd w:val="clear" w:color="auto" w:fill="E5FFFF"/>
          </w:tcPr>
          <w:p>
            <w:pPr>
              <w:spacing w:after="0"/>
              <w:rPr>
                <w:sz w:val="18"/>
                <w:szCs w:val="18"/>
                <w:color w:val="auto"/>
              </w:rPr>
            </w:pPr>
          </w:p>
        </w:tc>
        <w:tc>
          <w:tcPr>
            <w:tcW w:w="24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Senior Secured First Lien Term Loan Facility</w:t>
            </w:r>
          </w:p>
        </w:tc>
        <w:tc>
          <w:tcPr>
            <w:tcW w:w="154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1,031,822</w:t>
            </w:r>
          </w:p>
        </w:tc>
        <w:tc>
          <w:tcPr>
            <w:tcW w:w="24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 Convertible Bonds</w:t>
            </w:r>
          </w:p>
        </w:tc>
        <w:tc>
          <w:tcPr>
            <w:tcW w:w="1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69,938</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Senior Term Loan Facility</w:t>
            </w:r>
          </w:p>
        </w:tc>
        <w:tc>
          <w:tcPr>
            <w:tcW w:w="154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97,117</w:t>
            </w:r>
          </w:p>
        </w:tc>
        <w:tc>
          <w:tcPr>
            <w:tcW w:w="24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borrowings</w:t>
            </w:r>
          </w:p>
        </w:tc>
        <w:tc>
          <w:tcPr>
            <w:tcW w:w="1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110,754</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E5FFFF"/>
            </w:tcBorders>
            <w:shd w:val="clear" w:color="auto" w:fill="E5FFFF"/>
          </w:tcPr>
          <w:p>
            <w:pPr>
              <w:ind w:left="420"/>
              <w:spacing w:after="0"/>
              <w:rPr>
                <w:sz w:val="20"/>
                <w:szCs w:val="20"/>
                <w:color w:val="auto"/>
              </w:rPr>
            </w:pPr>
            <w:r>
              <w:rPr>
                <w:rFonts w:ascii="Times New Roman" w:cs="Times New Roman" w:eastAsia="Times New Roman" w:hAnsi="Times New Roman"/>
                <w:sz w:val="18"/>
                <w:szCs w:val="18"/>
                <w:color w:val="auto"/>
              </w:rPr>
              <w:t>Total Borrowings</w:t>
            </w:r>
          </w:p>
        </w:tc>
        <w:tc>
          <w:tcPr>
            <w:tcW w:w="1540" w:type="dxa"/>
            <w:vAlign w:val="bottom"/>
            <w:tcBorders>
              <w:top w:val="single" w:sz="8" w:color="auto"/>
            </w:tcBorders>
            <w:shd w:val="clear" w:color="auto" w:fill="E5FFFF"/>
          </w:tcPr>
          <w:p>
            <w:pPr>
              <w:spacing w:after="0"/>
              <w:rPr>
                <w:sz w:val="18"/>
                <w:szCs w:val="18"/>
                <w:color w:val="auto"/>
              </w:rPr>
            </w:pPr>
          </w:p>
        </w:tc>
        <w:tc>
          <w:tcPr>
            <w:tcW w:w="9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1,309,631</w:t>
            </w:r>
          </w:p>
        </w:tc>
        <w:tc>
          <w:tcPr>
            <w:tcW w:w="200" w:type="dxa"/>
            <w:vAlign w:val="bottom"/>
            <w:tcBorders>
              <w:top w:val="single" w:sz="8" w:color="E5FFFF"/>
            </w:tcBorders>
            <w:shd w:val="clear" w:color="auto" w:fill="E5FFFF"/>
          </w:tcPr>
          <w:p>
            <w:pPr>
              <w:spacing w:after="0"/>
              <w:rPr>
                <w:sz w:val="18"/>
                <w:szCs w:val="18"/>
                <w:color w:val="auto"/>
              </w:rPr>
            </w:pPr>
          </w:p>
        </w:tc>
        <w:tc>
          <w:tcPr>
            <w:tcW w:w="248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720"/>
              <w:spacing w:after="0"/>
              <w:rPr>
                <w:sz w:val="20"/>
                <w:szCs w:val="20"/>
                <w:color w:val="auto"/>
              </w:rPr>
            </w:pPr>
            <w:r>
              <w:rPr>
                <w:rFonts w:ascii="Times New Roman" w:cs="Times New Roman" w:eastAsia="Times New Roman" w:hAnsi="Times New Roman"/>
                <w:sz w:val="18"/>
                <w:szCs w:val="18"/>
                <w:i w:val="1"/>
                <w:iCs w:val="1"/>
                <w:color w:val="auto"/>
              </w:rPr>
              <w:t xml:space="preserve">Including: </w:t>
            </w:r>
            <w:r>
              <w:rPr>
                <w:rFonts w:ascii="Times New Roman" w:cs="Times New Roman" w:eastAsia="Times New Roman" w:hAnsi="Times New Roman"/>
                <w:sz w:val="18"/>
                <w:szCs w:val="18"/>
                <w:color w:val="auto"/>
              </w:rPr>
              <w:t>current maturities of borrowings</w:t>
            </w:r>
          </w:p>
        </w:tc>
        <w:tc>
          <w:tcPr>
            <w:tcW w:w="1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42,514</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E5FFFF"/>
            </w:tcBorders>
            <w:shd w:val="clear" w:color="auto" w:fill="E5FFFF"/>
          </w:tcPr>
          <w:p>
            <w:pPr>
              <w:ind w:left="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540" w:type="dxa"/>
            <w:vAlign w:val="bottom"/>
            <w:tcBorders>
              <w:top w:val="single" w:sz="8" w:color="auto"/>
            </w:tcBorders>
            <w:shd w:val="clear" w:color="auto" w:fill="E5FFFF"/>
          </w:tcPr>
          <w:p>
            <w:pPr>
              <w:spacing w:after="0"/>
              <w:rPr>
                <w:sz w:val="18"/>
                <w:szCs w:val="18"/>
                <w:color w:val="auto"/>
              </w:rPr>
            </w:pPr>
          </w:p>
        </w:tc>
        <w:tc>
          <w:tcPr>
            <w:tcW w:w="94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248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capital</w:t>
            </w:r>
          </w:p>
        </w:tc>
        <w:tc>
          <w:tcPr>
            <w:tcW w:w="1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2,930</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Share premium</w:t>
            </w:r>
          </w:p>
        </w:tc>
        <w:tc>
          <w:tcPr>
            <w:tcW w:w="154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2,106,919</w:t>
            </w:r>
          </w:p>
        </w:tc>
        <w:tc>
          <w:tcPr>
            <w:tcW w:w="24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reserve</w:t>
            </w:r>
          </w:p>
        </w:tc>
        <w:tc>
          <w:tcPr>
            <w:tcW w:w="1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16,198</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Translation reserve</w:t>
            </w:r>
          </w:p>
        </w:tc>
        <w:tc>
          <w:tcPr>
            <w:tcW w:w="1540" w:type="dxa"/>
            <w:vAlign w:val="bottom"/>
            <w:shd w:val="clear" w:color="auto" w:fill="E5FFFF"/>
          </w:tcPr>
          <w:p>
            <w:pPr>
              <w:spacing w:after="0"/>
              <w:rPr>
                <w:sz w:val="18"/>
                <w:szCs w:val="18"/>
                <w:color w:val="auto"/>
              </w:rPr>
            </w:pPr>
          </w:p>
        </w:tc>
        <w:tc>
          <w:tcPr>
            <w:tcW w:w="11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24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5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(2,408,760)</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E5FFFF"/>
            </w:tcBorders>
            <w:shd w:val="clear" w:color="auto" w:fill="E5FFFF"/>
          </w:tcPr>
          <w:p>
            <w:pPr>
              <w:ind w:left="4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540" w:type="dxa"/>
            <w:vAlign w:val="bottom"/>
            <w:tcBorders>
              <w:top w:val="single" w:sz="8" w:color="auto"/>
              <w:bottom w:val="single" w:sz="8" w:color="auto"/>
            </w:tcBorders>
            <w:shd w:val="clear" w:color="auto" w:fill="E5FFFF"/>
          </w:tcPr>
          <w:p>
            <w:pPr>
              <w:spacing w:after="0"/>
              <w:rPr>
                <w:sz w:val="18"/>
                <w:szCs w:val="18"/>
                <w:color w:val="auto"/>
              </w:rPr>
            </w:pPr>
          </w:p>
        </w:tc>
        <w:tc>
          <w:tcPr>
            <w:tcW w:w="9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(282,312)</w:t>
            </w:r>
          </w:p>
        </w:tc>
        <w:tc>
          <w:tcPr>
            <w:tcW w:w="200" w:type="dxa"/>
            <w:vAlign w:val="bottom"/>
            <w:tcBorders>
              <w:top w:val="single" w:sz="8" w:color="E5FFFF"/>
            </w:tcBorders>
            <w:shd w:val="clear" w:color="auto" w:fill="E5FFFF"/>
          </w:tcPr>
          <w:p>
            <w:pPr>
              <w:spacing w:after="0"/>
              <w:rPr>
                <w:sz w:val="18"/>
                <w:szCs w:val="18"/>
                <w:color w:val="auto"/>
              </w:rPr>
            </w:pPr>
          </w:p>
        </w:tc>
        <w:tc>
          <w:tcPr>
            <w:tcW w:w="2480" w:type="dxa"/>
            <w:vAlign w:val="bottom"/>
            <w:tcBorders>
              <w:top w:val="single" w:sz="8" w:color="auto"/>
              <w:bottom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1,029,696</w:t>
            </w:r>
          </w:p>
        </w:tc>
        <w:tc>
          <w:tcPr>
            <w:tcW w:w="200" w:type="dxa"/>
            <w:vAlign w:val="bottom"/>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ordinary shares outstanding as of March 31, 2026 was 312,153,164, which excludes: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9,943,434 outstanding warrants to purchase ordinary shares at an exercise price of $11.50 per share as of March 31, 2026;</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4,308,239 ordinary shares issuable upon vesting of restricted stock units granted to certain employees, executive officers and directors under the Alvotech Management Incentive Plan as of March 31, 2026;</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265,241 ordinary shares issuable upon exercise of outstanding stock options granted to certain employees, executive officers and directors underthe Alvotech Management Incentive Plan as of March 31, 2026;</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7,561,141 ordinary shares reserved for future issuance under the Alvotech Management Incentive Plan as of March 31, 2026;</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19,165,000 ordinary shares issuable upon vesting of certain earn-out shares as of March 31, 2026;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ordinary shares issuable upon conversion of the 6.875% senior unsecured convertible bonds due December 22, 2030, with an initial conversion price of $5.9224 per share, under which $69.9 million aggregate principal amount was outstanding as of March 31, 2026.</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you invest in our ordinary shares in this offering, your ownership interest will be immediately diluted to the extent of the difference between the public offering price per share and the as adjusted net tangible book value per ordinary share after this offering and the concurrent private placement. Net tangible book value per ordinary share is calculated by subtracting our total liabilities from our total tangible assets and dividing this amount by the number of ordinary shares outstanding.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net tangible book value as of March 31, 2026 was $(414.4) million, or $(1.33) per ordinary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After giving further effect to our sale of</w:t>
            </w:r>
          </w:p>
        </w:tc>
        <w:tc>
          <w:tcPr>
            <w:tcW w:w="4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ordinary shares in this offering at the offering price of $</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per ordinary share and our issuance</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and sale of</w:t>
            </w:r>
          </w:p>
        </w:tc>
        <w:tc>
          <w:tcPr>
            <w:tcW w:w="104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ordinary shares in the concurrent private placement at the public offering price per ordinary share, and after deducting underwriting</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commissions and estimated</w:t>
            </w:r>
          </w:p>
        </w:tc>
        <w:tc>
          <w:tcPr>
            <w:tcW w:w="1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offering expenses</w:t>
            </w:r>
          </w:p>
        </w:tc>
        <w:tc>
          <w:tcPr>
            <w:tcW w:w="1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payable by us, our as</w:t>
            </w:r>
          </w:p>
        </w:tc>
        <w:tc>
          <w:tcPr>
            <w:tcW w:w="5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adjusted net tangible book value at March 31, 2026 would have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been</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million, or $</w:t>
            </w:r>
          </w:p>
        </w:tc>
        <w:tc>
          <w:tcPr>
            <w:tcW w:w="8680" w:type="dxa"/>
            <w:vAlign w:val="bottom"/>
            <w:gridSpan w:val="5"/>
          </w:tcPr>
          <w:p>
            <w:pPr>
              <w:jc w:val="right"/>
              <w:ind w:right="679"/>
              <w:spacing w:after="0"/>
              <w:rPr>
                <w:sz w:val="20"/>
                <w:szCs w:val="20"/>
                <w:color w:val="auto"/>
              </w:rPr>
            </w:pPr>
            <w:r>
              <w:rPr>
                <w:rFonts w:ascii="Times New Roman" w:cs="Times New Roman" w:eastAsia="Times New Roman" w:hAnsi="Times New Roman"/>
                <w:sz w:val="18"/>
                <w:szCs w:val="18"/>
                <w:color w:val="auto"/>
              </w:rPr>
              <w:t>per ordinary share. This represents an immediate increase in as adjusted net tangible book value of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w:t>
            </w:r>
          </w:p>
        </w:tc>
      </w:tr>
      <w:tr>
        <w:trPr>
          <w:trHeight w:val="234"/>
        </w:trPr>
        <w:tc>
          <w:tcPr>
            <w:tcW w:w="8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ordinary share to existing shareholders and an immediate dilution in as adjusted net tangible book value of $</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per ordinary share to new investors.</w:t>
            </w:r>
          </w:p>
        </w:tc>
      </w:tr>
      <w:tr>
        <w:trPr>
          <w:trHeight w:val="432"/>
        </w:trPr>
        <w:tc>
          <w:tcPr>
            <w:tcW w:w="8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ordinary share basis:</w:t>
            </w: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4"/>
        </w:trPr>
        <w:tc>
          <w:tcPr>
            <w:tcW w:w="840" w:type="dxa"/>
            <w:vAlign w:val="bottom"/>
            <w:tcBorders>
              <w:bottom w:val="single" w:sz="8" w:color="E5FFFF"/>
            </w:tcBorders>
          </w:tcPr>
          <w:p>
            <w:pPr>
              <w:spacing w:after="0"/>
              <w:rPr>
                <w:sz w:val="24"/>
                <w:szCs w:val="24"/>
                <w:color w:val="auto"/>
              </w:rPr>
            </w:pPr>
          </w:p>
        </w:tc>
        <w:tc>
          <w:tcPr>
            <w:tcW w:w="1340" w:type="dxa"/>
            <w:vAlign w:val="bottom"/>
            <w:tcBorders>
              <w:bottom w:val="single" w:sz="8" w:color="E5FFFF"/>
            </w:tcBorders>
          </w:tcPr>
          <w:p>
            <w:pPr>
              <w:spacing w:after="0"/>
              <w:rPr>
                <w:sz w:val="24"/>
                <w:szCs w:val="24"/>
                <w:color w:val="auto"/>
              </w:rPr>
            </w:pPr>
          </w:p>
        </w:tc>
        <w:tc>
          <w:tcPr>
            <w:tcW w:w="1440" w:type="dxa"/>
            <w:vAlign w:val="bottom"/>
            <w:tcBorders>
              <w:bottom w:val="single" w:sz="8" w:color="E5FFFF"/>
            </w:tcBorders>
          </w:tcPr>
          <w:p>
            <w:pPr>
              <w:spacing w:after="0"/>
              <w:rPr>
                <w:sz w:val="24"/>
                <w:szCs w:val="24"/>
                <w:color w:val="auto"/>
              </w:rPr>
            </w:pPr>
          </w:p>
        </w:tc>
        <w:tc>
          <w:tcPr>
            <w:tcW w:w="1840" w:type="dxa"/>
            <w:vAlign w:val="bottom"/>
            <w:tcBorders>
              <w:bottom w:val="single" w:sz="8" w:color="E5FFFF"/>
            </w:tcBorders>
          </w:tcPr>
          <w:p>
            <w:pPr>
              <w:spacing w:after="0"/>
              <w:rPr>
                <w:sz w:val="24"/>
                <w:szCs w:val="24"/>
                <w:color w:val="auto"/>
              </w:rPr>
            </w:pPr>
          </w:p>
        </w:tc>
        <w:tc>
          <w:tcPr>
            <w:tcW w:w="2540" w:type="dxa"/>
            <w:vAlign w:val="bottom"/>
            <w:tcBorders>
              <w:bottom w:val="single" w:sz="8" w:color="E5FFFF"/>
            </w:tcBorders>
          </w:tcPr>
          <w:p>
            <w:pPr>
              <w:spacing w:after="0"/>
              <w:rPr>
                <w:sz w:val="24"/>
                <w:szCs w:val="24"/>
                <w:color w:val="auto"/>
              </w:rPr>
            </w:pPr>
          </w:p>
        </w:tc>
        <w:tc>
          <w:tcPr>
            <w:tcW w:w="1220" w:type="dxa"/>
            <w:vAlign w:val="bottom"/>
            <w:tcBorders>
              <w:bottom w:val="single" w:sz="8" w:color="E5FFFF"/>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 Ordinary Share</w:t>
            </w:r>
          </w:p>
        </w:tc>
        <w:tc>
          <w:tcPr>
            <w:tcW w:w="380" w:type="dxa"/>
            <w:vAlign w:val="bottom"/>
            <w:tcBorders>
              <w:bottom w:val="single" w:sz="8" w:color="auto"/>
            </w:tcBorders>
          </w:tcPr>
          <w:p>
            <w:pPr>
              <w:spacing w:after="0"/>
              <w:rPr>
                <w:sz w:val="24"/>
                <w:szCs w:val="24"/>
                <w:color w:val="auto"/>
              </w:rPr>
            </w:pPr>
          </w:p>
        </w:tc>
      </w:tr>
      <w:tr>
        <w:trPr>
          <w:trHeight w:val="209"/>
        </w:trPr>
        <w:tc>
          <w:tcPr>
            <w:tcW w:w="2180" w:type="dxa"/>
            <w:vAlign w:val="bottom"/>
            <w:gridSpan w:val="2"/>
            <w:shd w:val="clear" w:color="auto" w:fill="E5FFFF"/>
          </w:tcPr>
          <w:p>
            <w:pPr>
              <w:ind w:left="60"/>
              <w:spacing w:after="0"/>
              <w:rPr>
                <w:sz w:val="20"/>
                <w:szCs w:val="20"/>
                <w:color w:val="auto"/>
              </w:rPr>
            </w:pPr>
            <w:r>
              <w:rPr>
                <w:rFonts w:ascii="Times New Roman" w:cs="Times New Roman" w:eastAsia="Times New Roman" w:hAnsi="Times New Roman"/>
                <w:sz w:val="18"/>
                <w:szCs w:val="18"/>
                <w:color w:val="auto"/>
              </w:rPr>
              <w:t>Public offering price</w:t>
            </w:r>
          </w:p>
        </w:tc>
        <w:tc>
          <w:tcPr>
            <w:tcW w:w="1440" w:type="dxa"/>
            <w:vAlign w:val="bottom"/>
            <w:shd w:val="clear" w:color="auto" w:fill="E5FFFF"/>
          </w:tcPr>
          <w:p>
            <w:pPr>
              <w:spacing w:after="0"/>
              <w:rPr>
                <w:sz w:val="18"/>
                <w:szCs w:val="18"/>
                <w:color w:val="auto"/>
              </w:rPr>
            </w:pPr>
          </w:p>
        </w:tc>
        <w:tc>
          <w:tcPr>
            <w:tcW w:w="1840" w:type="dxa"/>
            <w:vAlign w:val="bottom"/>
            <w:shd w:val="clear" w:color="auto" w:fill="E5FFFF"/>
          </w:tcPr>
          <w:p>
            <w:pPr>
              <w:spacing w:after="0"/>
              <w:rPr>
                <w:sz w:val="18"/>
                <w:szCs w:val="18"/>
                <w:color w:val="auto"/>
              </w:rPr>
            </w:pPr>
          </w:p>
        </w:tc>
        <w:tc>
          <w:tcPr>
            <w:tcW w:w="25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1640" w:type="dxa"/>
            <w:vAlign w:val="bottom"/>
            <w:shd w:val="clear" w:color="auto" w:fill="E5FF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5FFFF"/>
          </w:tcPr>
          <w:p>
            <w:pPr>
              <w:spacing w:after="0"/>
              <w:rPr>
                <w:sz w:val="18"/>
                <w:szCs w:val="18"/>
                <w:color w:val="auto"/>
              </w:rPr>
            </w:pPr>
          </w:p>
        </w:tc>
      </w:tr>
      <w:tr>
        <w:trPr>
          <w:trHeight w:val="216"/>
        </w:trPr>
        <w:tc>
          <w:tcPr>
            <w:tcW w:w="80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Historical net tangible book value per ordinary share as of March 31, 2026</w:t>
            </w:r>
          </w:p>
        </w:tc>
        <w:tc>
          <w:tcPr>
            <w:tcW w:w="2860" w:type="dxa"/>
            <w:vAlign w:val="bottom"/>
            <w:gridSpan w:val="2"/>
          </w:tcPr>
          <w:p>
            <w:pPr>
              <w:jc w:val="right"/>
              <w:ind w:right="1019"/>
              <w:spacing w:after="0"/>
              <w:rPr>
                <w:sz w:val="20"/>
                <w:szCs w:val="20"/>
                <w:color w:val="auto"/>
              </w:rPr>
            </w:pPr>
            <w:r>
              <w:rPr>
                <w:rFonts w:ascii="Times New Roman" w:cs="Times New Roman" w:eastAsia="Times New Roman" w:hAnsi="Times New Roman"/>
                <w:sz w:val="18"/>
                <w:szCs w:val="18"/>
                <w:color w:val="auto"/>
              </w:rPr>
              <w:t>$(1.33)</w:t>
            </w:r>
          </w:p>
        </w:tc>
        <w:tc>
          <w:tcPr>
            <w:tcW w:w="380" w:type="dxa"/>
            <w:vAlign w:val="bottom"/>
          </w:tcPr>
          <w:p>
            <w:pPr>
              <w:spacing w:after="0"/>
              <w:rPr>
                <w:sz w:val="18"/>
                <w:szCs w:val="18"/>
                <w:color w:val="auto"/>
              </w:rPr>
            </w:pPr>
          </w:p>
        </w:tc>
      </w:tr>
      <w:tr>
        <w:trPr>
          <w:trHeight w:val="216"/>
        </w:trPr>
        <w:tc>
          <w:tcPr>
            <w:tcW w:w="5460" w:type="dxa"/>
            <w:vAlign w:val="bottom"/>
            <w:gridSpan w:val="4"/>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Increase per ordinary share attributable to concurrent private placement</w:t>
            </w:r>
          </w:p>
        </w:tc>
        <w:tc>
          <w:tcPr>
            <w:tcW w:w="25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164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r>
      <w:tr>
        <w:trPr>
          <w:trHeight w:val="198"/>
        </w:trPr>
        <w:tc>
          <w:tcPr>
            <w:tcW w:w="10860" w:type="dxa"/>
            <w:vAlign w:val="bottom"/>
            <w:gridSpan w:val="7"/>
          </w:tcPr>
          <w:p>
            <w:pPr>
              <w:ind w:left="240"/>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ordinary share attributable to new investors purchasing ordinary shares in this</w:t>
            </w:r>
          </w:p>
        </w:tc>
        <w:tc>
          <w:tcPr>
            <w:tcW w:w="380" w:type="dxa"/>
            <w:vAlign w:val="bottom"/>
          </w:tcPr>
          <w:p>
            <w:pPr>
              <w:spacing w:after="0"/>
              <w:rPr>
                <w:sz w:val="17"/>
                <w:szCs w:val="17"/>
                <w:color w:val="auto"/>
              </w:rPr>
            </w:pPr>
          </w:p>
        </w:tc>
      </w:tr>
      <w:tr>
        <w:trPr>
          <w:trHeight w:val="234"/>
        </w:trPr>
        <w:tc>
          <w:tcPr>
            <w:tcW w:w="2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offering</w:t>
            </w:r>
          </w:p>
        </w:tc>
        <w:tc>
          <w:tcPr>
            <w:tcW w:w="1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98"/>
        </w:trPr>
        <w:tc>
          <w:tcPr>
            <w:tcW w:w="10860" w:type="dxa"/>
            <w:vAlign w:val="bottom"/>
            <w:gridSpan w:val="7"/>
            <w:shd w:val="clear" w:color="auto" w:fill="E5FFFF"/>
          </w:tcPr>
          <w:p>
            <w:pPr>
              <w:ind w:left="60"/>
              <w:spacing w:after="0" w:line="198" w:lineRule="exact"/>
              <w:rPr>
                <w:sz w:val="20"/>
                <w:szCs w:val="20"/>
                <w:color w:val="auto"/>
              </w:rPr>
            </w:pPr>
            <w:r>
              <w:rPr>
                <w:rFonts w:ascii="Times New Roman" w:cs="Times New Roman" w:eastAsia="Times New Roman" w:hAnsi="Times New Roman"/>
                <w:sz w:val="18"/>
                <w:szCs w:val="18"/>
                <w:color w:val="auto"/>
              </w:rPr>
              <w:t>As adjusted net tangible book value per ordinary share after giving effect to this offering and the concurrent private</w:t>
            </w:r>
          </w:p>
        </w:tc>
        <w:tc>
          <w:tcPr>
            <w:tcW w:w="380" w:type="dxa"/>
            <w:vAlign w:val="bottom"/>
            <w:shd w:val="clear" w:color="auto" w:fill="E5FFFF"/>
          </w:tcPr>
          <w:p>
            <w:pPr>
              <w:spacing w:after="0"/>
              <w:rPr>
                <w:sz w:val="17"/>
                <w:szCs w:val="17"/>
                <w:color w:val="auto"/>
              </w:rPr>
            </w:pPr>
          </w:p>
        </w:tc>
      </w:tr>
      <w:tr>
        <w:trPr>
          <w:trHeight w:val="234"/>
        </w:trPr>
        <w:tc>
          <w:tcPr>
            <w:tcW w:w="2180" w:type="dxa"/>
            <w:vAlign w:val="bottom"/>
            <w:gridSpan w:val="2"/>
            <w:shd w:val="clear" w:color="auto" w:fill="E5FFFF"/>
          </w:tcPr>
          <w:p>
            <w:pPr>
              <w:ind w:left="240"/>
              <w:spacing w:after="0"/>
              <w:rPr>
                <w:sz w:val="20"/>
                <w:szCs w:val="20"/>
                <w:color w:val="auto"/>
              </w:rPr>
            </w:pPr>
            <w:r>
              <w:rPr>
                <w:rFonts w:ascii="Times New Roman" w:cs="Times New Roman" w:eastAsia="Times New Roman" w:hAnsi="Times New Roman"/>
                <w:sz w:val="18"/>
                <w:szCs w:val="18"/>
                <w:color w:val="auto"/>
              </w:rPr>
              <w:t>placement</w:t>
            </w:r>
          </w:p>
        </w:tc>
        <w:tc>
          <w:tcPr>
            <w:tcW w:w="1440" w:type="dxa"/>
            <w:vAlign w:val="bottom"/>
            <w:shd w:val="clear" w:color="auto" w:fill="E5FFFF"/>
          </w:tcPr>
          <w:p>
            <w:pPr>
              <w:spacing w:after="0"/>
              <w:rPr>
                <w:sz w:val="20"/>
                <w:szCs w:val="20"/>
                <w:color w:val="auto"/>
              </w:rPr>
            </w:pPr>
          </w:p>
        </w:tc>
        <w:tc>
          <w:tcPr>
            <w:tcW w:w="1840" w:type="dxa"/>
            <w:vAlign w:val="bottom"/>
            <w:shd w:val="clear" w:color="auto" w:fill="E5FFFF"/>
          </w:tcPr>
          <w:p>
            <w:pPr>
              <w:spacing w:after="0"/>
              <w:rPr>
                <w:sz w:val="20"/>
                <w:szCs w:val="20"/>
                <w:color w:val="auto"/>
              </w:rPr>
            </w:pPr>
          </w:p>
        </w:tc>
        <w:tc>
          <w:tcPr>
            <w:tcW w:w="2540" w:type="dxa"/>
            <w:vAlign w:val="bottom"/>
            <w:shd w:val="clear" w:color="auto" w:fill="E5FFFF"/>
          </w:tcPr>
          <w:p>
            <w:pPr>
              <w:spacing w:after="0"/>
              <w:rPr>
                <w:sz w:val="20"/>
                <w:szCs w:val="20"/>
                <w:color w:val="auto"/>
              </w:rPr>
            </w:pPr>
          </w:p>
        </w:tc>
        <w:tc>
          <w:tcPr>
            <w:tcW w:w="1220" w:type="dxa"/>
            <w:vAlign w:val="bottom"/>
            <w:shd w:val="clear" w:color="auto" w:fill="E5FFFF"/>
          </w:tcPr>
          <w:p>
            <w:pPr>
              <w:spacing w:after="0"/>
              <w:rPr>
                <w:sz w:val="20"/>
                <w:szCs w:val="20"/>
                <w:color w:val="auto"/>
              </w:rPr>
            </w:pPr>
          </w:p>
        </w:tc>
        <w:tc>
          <w:tcPr>
            <w:tcW w:w="1640" w:type="dxa"/>
            <w:vAlign w:val="bottom"/>
            <w:shd w:val="clear" w:color="auto" w:fill="E5FFFF"/>
          </w:tcPr>
          <w:p>
            <w:pPr>
              <w:spacing w:after="0"/>
              <w:rPr>
                <w:sz w:val="20"/>
                <w:szCs w:val="20"/>
                <w:color w:val="auto"/>
              </w:rPr>
            </w:pPr>
          </w:p>
        </w:tc>
        <w:tc>
          <w:tcPr>
            <w:tcW w:w="380" w:type="dxa"/>
            <w:vAlign w:val="bottom"/>
            <w:shd w:val="clear" w:color="auto" w:fill="E5FFFF"/>
          </w:tcPr>
          <w:p>
            <w:pPr>
              <w:spacing w:after="0"/>
              <w:rPr>
                <w:sz w:val="20"/>
                <w:szCs w:val="20"/>
                <w:color w:val="auto"/>
              </w:rPr>
            </w:pPr>
          </w:p>
        </w:tc>
      </w:tr>
      <w:tr>
        <w:trPr>
          <w:trHeight w:val="234"/>
        </w:trPr>
        <w:tc>
          <w:tcPr>
            <w:tcW w:w="54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Dilution per ordinary share to new investors participating in the offering</w:t>
            </w:r>
          </w:p>
        </w:tc>
        <w:tc>
          <w:tcPr>
            <w:tcW w:w="2540" w:type="dxa"/>
            <w:vAlign w:val="bottom"/>
          </w:tcPr>
          <w:p>
            <w:pPr>
              <w:spacing w:after="0"/>
              <w:rPr>
                <w:sz w:val="20"/>
                <w:szCs w:val="20"/>
                <w:color w:val="auto"/>
              </w:rPr>
            </w:pPr>
          </w:p>
        </w:tc>
        <w:tc>
          <w:tcPr>
            <w:tcW w:w="286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r>
      <w:tr>
        <w:trPr>
          <w:trHeight w:val="395"/>
        </w:trPr>
        <w:tc>
          <w:tcPr>
            <w:tcW w:w="54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If the underwriters exercise in full their option to purchase</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additional shares, our as adjusted net tangible book value per share after this</w:t>
            </w:r>
          </w:p>
        </w:tc>
      </w:tr>
      <w:tr>
        <w:trPr>
          <w:trHeight w:val="216"/>
        </w:trPr>
        <w:tc>
          <w:tcPr>
            <w:tcW w:w="5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offering and the concurrent private placement would be $</w:t>
            </w:r>
          </w:p>
        </w:tc>
        <w:tc>
          <w:tcPr>
            <w:tcW w:w="5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representing an immediate increase in net tangible book value per share of</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 existing stockholders and immediate dilution in net tangible book value per share of $</w:t>
            </w:r>
          </w:p>
        </w:tc>
        <w:tc>
          <w:tcPr>
            <w:tcW w:w="3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 new investors purchasing ordinary shares</w:t>
            </w:r>
          </w:p>
        </w:tc>
      </w:tr>
      <w:tr>
        <w:trPr>
          <w:trHeight w:val="216"/>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this offering at the offering price of $</w:t>
            </w:r>
          </w:p>
        </w:tc>
        <w:tc>
          <w:tcPr>
            <w:tcW w:w="7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per share, and after deducting the underwriting discounts and commissions and estimated offering</w:t>
            </w: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payable by us.</w:t>
            </w:r>
          </w:p>
        </w:tc>
        <w:tc>
          <w:tcPr>
            <w:tcW w:w="1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discussion and table are based on 312,153,164 ordinary shares outstanding as of March 31, 2026 and does not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9,943,434 outstanding warrants to purchase ordinary shares at an exercise price of $11.50 per share as of March 31, 2026;</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4,308,239 ordinary shares issuable upon vesting of restricted stock units granted to certain employees, executive officers and directors under the Alvotech Management Incentive Plan as of March 31, 2026;</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265,241 ordinary shares issuable upon exercise of outstanding stock options granted to certain employees, executive officers and directors underthe Alvotech Management Incentive Plan as of March 31, 2026;</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7,561,141 ordinary shares reserved for future issuance under the Alvotech Management Incentive Plan as of March 31, 2026;</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19,165,000 ordinary shares issuable upon vesting of certain earn-out shares as of March 31, 2026;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ordinary shares issuable upon conversion of the 6.875% senior unsecured convertible bonds due December 22, 2030, with an initial conversion price of $5.9224 per share, under which $69.9 million aggregate principal amount was outstanding as of March 31, 2026.</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MATERIAL LUXEMBOURG INCOME TAX CONSIDERATIONS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information is of a general nature only and is based on the laws in force in Luxembourg as of the date of this prospectus supplement and is subject to any change in law that may take effect after such date. It does not purport to be a comprehensive description of all tax considerations that might be relevant to an investment decision. It is not intended to be, nor should it be construed to be, legal or tax advice. It is a description of the essential material Luxembourg tax consequences with respect to the listing and may not include tax considerations that arise from rules of general application or that are generally assumed to be known to investors. Prospective holders of ordinary shares should consult their professional advisors with respect to particular circumstances, the effects of state, local or foreign laws to which they may be subject, and as to their tax position.</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Please be aware that the residence concept used under the respective headings applies for Luxembourg income tax assessment purposes only. Any reference in this section to a tax, duty, levy impost or other charge or withholding of a similar nature refers to Luxembourg tax law and/or concepts only. In addition, please note that a reference to Luxembourg income tax generally encompasses corporate income tax (impôt sur le revenu des collectivités), municipal business tax (impôt commercial communal), a solidarity surcharge (contribution au fonds pour l’emploi) as well as personal income tax (impôt sur le revenu). Corporate holders of ordinary shares may further be subject to net worth tax (impôt sur la fortune) as well as other duties, levies or taxes. Corporate income tax, municipal business tax, the solidarity surcharge and net worth tax invariably apply to most corporate taxpayers resident in Luxembourg for tax purposes. Corporate taxpayers may further be subject to a top-up tax arising under any legislation implementing OECD (2021), Tax Challenges Arising from Digitalisation of the Economy – Global Anti-Base Erosion Model Rules (Pillar 2): Inclusive Framework on BEPS, OECD/G20 Base Erosion and Profit Shifting Project, OECD Publishing, Paris, Council Directive (EU) 2022/2523 of December 14, 2022, on ensuring a global minimum level of taxation for multinational enterprise groups and large-scale domestic groups in the Union, the Luxembourg law of December 22, 2023 (the “Pillar 2 Law”), or similar rules. Individual taxpayers are generally subject to personal income tax and the solidarity surcharge. Under certain circumstances, where an individual taxpayer acts in the course of the management of a professional or business undertaking, municipal business tax may apply as well.</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Taxation of Alvotech</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right="20" w:firstLine="386"/>
        <w:spacing w:after="0" w:line="282" w:lineRule="auto"/>
        <w:rPr>
          <w:sz w:val="20"/>
          <w:szCs w:val="20"/>
          <w:color w:val="auto"/>
        </w:rPr>
      </w:pPr>
      <w:r>
        <w:rPr>
          <w:rFonts w:ascii="Times New Roman" w:cs="Times New Roman" w:eastAsia="Times New Roman" w:hAnsi="Times New Roman"/>
          <w:sz w:val="18"/>
          <w:szCs w:val="18"/>
          <w:color w:val="auto"/>
        </w:rPr>
        <w:t>From a Luxembourg tax perspective, Luxembourg companies are considered as being resident in Luxembourg provided that they have either their registered office or their central administration in Luxembourg.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Alvotech is a fully taxable Luxembourg company. The net taxable profit of Alvotech is subject to corporate income tax (“CIT”) and municipal business tax (“MBT”) at ordinary rates in Luxembourg.</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maximum aggregate CIT and MBT rate amounts to 23.87% (including the solidarity surcharge for the employment fund) for companies located in the municipality of Luxembourg-city. Liability to such corporation taxes extends to Alvotech’s worldwide income (including capital gains), subject to the provisions of any relevant double taxation treaty. The taxable income of Alvotech is computed by application of all rules of the Luxembourg income tax law of December 4, 1967, as amended (</w:t>
      </w:r>
      <w:r>
        <w:rPr>
          <w:rFonts w:ascii="Times New Roman" w:cs="Times New Roman" w:eastAsia="Times New Roman" w:hAnsi="Times New Roman"/>
          <w:sz w:val="18"/>
          <w:szCs w:val="18"/>
          <w:i w:val="1"/>
          <w:iCs w:val="1"/>
          <w:color w:val="auto"/>
        </w:rPr>
        <w:t>loi concernant l’impôt sur le revenu</w:t>
      </w:r>
      <w:r>
        <w:rPr>
          <w:rFonts w:ascii="Times New Roman" w:cs="Times New Roman" w:eastAsia="Times New Roman" w:hAnsi="Times New Roman"/>
          <w:sz w:val="18"/>
          <w:szCs w:val="18"/>
          <w:color w:val="auto"/>
        </w:rPr>
        <w:t>), as commented and currently applied by the Luxembourg tax authorities (“LIR”). The taxable profit as determined for CIT purposes is applicable, with minor adjustments, for MBT purposes. Under the LIR, all income of Alvotech will be taxable in the fiscal period to which it economically relates and all deductible expenses of Alvotech will be deductible in the fiscal period to which they economically relate. Under certain conditions, dividends received by Alvotech from qualifying participations and capital gains realized by Alvotech on the sale of such participations, may be exempt from Luxembourg corporation taxes under the Luxembourg participation exemption regime. A tax credit is generally granted for withholding taxes levied at source within the limit of the tax payable in Luxembourg on such income, whereby any excess withholding tax is not refundable (but may be deductible under certain conditions).</w:t>
      </w:r>
    </w:p>
    <w:p>
      <w:pPr>
        <w:spacing w:after="0" w:line="194" w:lineRule="exact"/>
        <w:rPr>
          <w:sz w:val="20"/>
          <w:szCs w:val="20"/>
          <w:color w:val="auto"/>
        </w:rPr>
      </w:pPr>
    </w:p>
    <w:p>
      <w:pPr>
        <w:jc w:val="both"/>
        <w:ind w:firstLine="375"/>
        <w:spacing w:after="0" w:line="266"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dividends derived from shares may be exempt from income taxes if (i) the distributing company is a qualified subsidiary (“Qualified Subsidiary”) and (ii) at the time the dividend is put at Alvotech’s disposal, the latter holds or commits itself to hold for an uninterrupted period of at least 12 months shares representing either (a) a direct participation of at least 10% in the</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share capital of the Qualified Subsidiary or (b) a direct participation in the Qualified Subsidiary of an acquisition price of at least €1.2 million (“Qualified Shareholding”). A Qualified Subsidiary means notably (a) a company covered by Article 2 of the Council Directive 2011/96/EU dated November 30, 2011 (the “Parent-Subsidiary Directive”) or (b) a non-resident capital company (</w:t>
      </w:r>
      <w:r>
        <w:rPr>
          <w:rFonts w:ascii="Times New Roman" w:cs="Times New Roman" w:eastAsia="Times New Roman" w:hAnsi="Times New Roman"/>
          <w:sz w:val="18"/>
          <w:szCs w:val="18"/>
          <w:i w:val="1"/>
          <w:iCs w:val="1"/>
          <w:color w:val="auto"/>
        </w:rPr>
        <w:t>société de capitaux</w:t>
      </w:r>
      <w:r>
        <w:rPr>
          <w:rFonts w:ascii="Times New Roman" w:cs="Times New Roman" w:eastAsia="Times New Roman" w:hAnsi="Times New Roman"/>
          <w:sz w:val="18"/>
          <w:szCs w:val="18"/>
          <w:color w:val="auto"/>
        </w:rPr>
        <w:t>) liable to a tax corresponding to Luxembourg CIT. Liquidation proceeds are assimilated to a received dividend and may be exempt under the same conditions.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conditions of the participation exemption regime are not met, dividends derived by Alvotech from the Qualified Subsidiary may be exempt for 50% of their gross amount.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Capital gains realized by Alvotech on shares are subject to CIT and MBT at ordinary rates, unless the conditions of the participation exemption regime, as described below, are satisfied. Under the participation exemption regime (subject to the relevant anti-abuse rules), capital gains realized on shares may be exempt from income taxes at the level of Alvotech (subject to the recapture rules) if at the time the capital gain is realized, Alvotech holds or commits itself to hold for an uninterrupted period of at least 12 months shares representing a direct participation in the share capital of the Qualified Subsidiary (i) of at least 10% or of (ii) an acquisition price of at least €6 million. Taxable gains are determined as being the difference between the price for which shares have been disposed of and the lower of their cost or book value.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purposes of the participation exemption regime, shares held through a tax transparent entity are considered as being a direct participation proportionally to the percentage held in the net assets of the transparent entity.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Worth Tax</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Alvotech is as a rule subject to Luxembourg net worth tax (“NWT”) on its net assets as determined for net worth tax purposes. NWT is levied at the rate of 0.5% on net assets not exceeding €500 million and at the rate of 0.05% on the portion of the net assets exceeding €500 million. Net worth is referred to as the unitary value (</w:t>
      </w:r>
      <w:r>
        <w:rPr>
          <w:rFonts w:ascii="Times New Roman" w:cs="Times New Roman" w:eastAsia="Times New Roman" w:hAnsi="Times New Roman"/>
          <w:sz w:val="18"/>
          <w:szCs w:val="18"/>
          <w:i w:val="1"/>
          <w:iCs w:val="1"/>
          <w:color w:val="auto"/>
        </w:rPr>
        <w:t>valeur unitaire</w:t>
      </w:r>
      <w:r>
        <w:rPr>
          <w:rFonts w:ascii="Times New Roman" w:cs="Times New Roman" w:eastAsia="Times New Roman" w:hAnsi="Times New Roman"/>
          <w:sz w:val="18"/>
          <w:szCs w:val="18"/>
          <w:color w:val="auto"/>
        </w:rPr>
        <w:t>), as determined on January 1 of each year. The unitary value is in principle calculated as the difference between (i) assets estimated at their fair market value (</w:t>
      </w:r>
      <w:r>
        <w:rPr>
          <w:rFonts w:ascii="Times New Roman" w:cs="Times New Roman" w:eastAsia="Times New Roman" w:hAnsi="Times New Roman"/>
          <w:sz w:val="18"/>
          <w:szCs w:val="18"/>
          <w:i w:val="1"/>
          <w:iCs w:val="1"/>
          <w:color w:val="auto"/>
        </w:rPr>
        <w:t>valeur estimée de réalisation</w:t>
      </w:r>
      <w:r>
        <w:rPr>
          <w:rFonts w:ascii="Times New Roman" w:cs="Times New Roman" w:eastAsia="Times New Roman" w:hAnsi="Times New Roman"/>
          <w:sz w:val="18"/>
          <w:szCs w:val="18"/>
          <w:color w:val="auto"/>
        </w:rPr>
        <w:t>), and (ii) liabilities.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participation exemption regime, a Qualified Shareholding held by Alvotech in a Qualified Subsidiary is exempt for net worth tax purposes.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from January 1, 2016, a minimum net worth tax (“MNWT”) is levied on companies having their statutory seat or central administration in Luxembourg. The MNWT is determined solely on the basis of the companies’ total balance sheet and amounts to €535 for a balance sheet of up to €350,000, €1,605 for a balance sheet exceeding €350,000 and up to €2,000,000, and €4,815 for a balance sheet exceeding €2,000,000.</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incorporation of Alvotech through a contribution in cash to its share capital as well as further share capital increase or other amendment to the articles of incorporation of Alvotech are subject to a fixed registration duty of €75.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Alvotech may be subject to a top-up tax in Luxembourg if it falls within the scope of the Pillar 2 Law.</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Taxes</w:t>
      </w:r>
    </w:p>
    <w:p>
      <w:pPr>
        <w:spacing w:after="0" w:line="229" w:lineRule="exact"/>
        <w:rPr>
          <w:sz w:val="20"/>
          <w:szCs w:val="20"/>
          <w:color w:val="auto"/>
        </w:rPr>
      </w:pPr>
    </w:p>
    <w:p>
      <w:pPr>
        <w:jc w:val="both"/>
        <w:ind w:firstLine="375"/>
        <w:spacing w:after="0" w:line="266" w:lineRule="auto"/>
        <w:rPr>
          <w:sz w:val="20"/>
          <w:szCs w:val="20"/>
          <w:color w:val="auto"/>
        </w:rPr>
      </w:pPr>
      <w:r>
        <w:rPr>
          <w:rFonts w:ascii="Times New Roman" w:cs="Times New Roman" w:eastAsia="Times New Roman" w:hAnsi="Times New Roman"/>
          <w:sz w:val="18"/>
          <w:szCs w:val="18"/>
          <w:color w:val="auto"/>
        </w:rPr>
        <w:t>Dividends paid by Alvotech to holders of ordinary shares are generally subject to a 15% withholding tax in Luxembourg, unless a reduced treaty rate or the participation exemption applies. Under certain conditions, a corresponding tax credit may be granted to the holders of ordinary shares. Responsibility for the withholding of the tax is assumed by Alvotech.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withholding tax exemption applies under the participation exemption regime (subject to the relevant anti-abuse rules), if cumulatively (i) the holder of ordinary shares is an eligible parent (“Eligible Parent”) and (ii) at the time the income is made available, the Eligible Parent holds or commits itself to hold for an uninterrupted period of at least 12 months a Qualified Shareholding in Alvotech. Holding a participation through a tax transparent entity is deemed to be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a direct participation in the proportion of the net assets held in this entity. An Eligible Parent includes notably (a) a company covered by Article 2 of the Parent-Subsidiary Directive or a Luxembourg permanent establishment thereof, (b) a company resident in a State having a double tax treaty with Luxembourg and liable to a tax corresponding to Luxembourg CIT or a Luxembourg permanent establishment thereof, (c) a capital company (</w:t>
      </w:r>
      <w:r>
        <w:rPr>
          <w:rFonts w:ascii="Times New Roman" w:cs="Times New Roman" w:eastAsia="Times New Roman" w:hAnsi="Times New Roman"/>
          <w:sz w:val="18"/>
          <w:szCs w:val="18"/>
          <w:i w:val="1"/>
          <w:iCs w:val="1"/>
          <w:color w:val="auto"/>
        </w:rPr>
        <w:t>société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capitaux</w:t>
      </w:r>
      <w:r>
        <w:rPr>
          <w:rFonts w:ascii="Times New Roman" w:cs="Times New Roman" w:eastAsia="Times New Roman" w:hAnsi="Times New Roman"/>
          <w:sz w:val="18"/>
          <w:szCs w:val="18"/>
          <w:color w:val="auto"/>
        </w:rPr>
        <w:t>) or a cooperative company (</w:t>
      </w:r>
      <w:r>
        <w:rPr>
          <w:rFonts w:ascii="Times New Roman" w:cs="Times New Roman" w:eastAsia="Times New Roman" w:hAnsi="Times New Roman"/>
          <w:sz w:val="18"/>
          <w:szCs w:val="18"/>
          <w:i w:val="1"/>
          <w:iCs w:val="1"/>
          <w:color w:val="auto"/>
        </w:rPr>
        <w:t>société coopérative</w:t>
      </w:r>
      <w:r>
        <w:rPr>
          <w:rFonts w:ascii="Times New Roman" w:cs="Times New Roman" w:eastAsia="Times New Roman" w:hAnsi="Times New Roman"/>
          <w:sz w:val="18"/>
          <w:szCs w:val="18"/>
          <w:color w:val="auto"/>
        </w:rPr>
        <w:t>) resident in a member state of the EEA other than an EU member state and liable to a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to Luxembourg CIT or a Luxembourg permanent establishment thereof or (d) a Swiss capital company (</w:t>
      </w:r>
      <w:r>
        <w:rPr>
          <w:rFonts w:ascii="Times New Roman" w:cs="Times New Roman" w:eastAsia="Times New Roman" w:hAnsi="Times New Roman"/>
          <w:sz w:val="18"/>
          <w:szCs w:val="18"/>
          <w:i w:val="1"/>
          <w:iCs w:val="1"/>
          <w:color w:val="auto"/>
        </w:rPr>
        <w:t>société de capitaux</w:t>
      </w:r>
      <w:r>
        <w:rPr>
          <w:rFonts w:ascii="Times New Roman" w:cs="Times New Roman" w:eastAsia="Times New Roman" w:hAnsi="Times New Roman"/>
          <w:sz w:val="18"/>
          <w:szCs w:val="18"/>
          <w:color w:val="auto"/>
        </w:rPr>
        <w:t>) which is subject to CIT in Switzerland without benefiting from an exemption.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withholding tax is levied on capital gains and liquidation proceeds.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Taxation of the Holders of Ordinary Shares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Tax Residency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holder of ordinary shares will not become resident, nor be deemed to be resident, in Luxembourg solely by virtue of holding and/or disposing of ordinary shares or the execution, performance, delivery and/or enforcement of his or her rights thereunder.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purposes of this section, a “disposal” may include a sale, an exchange, a contribution, a redemption and any other kind of alienation of ordinary shares.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Luxembourg Residents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Luxembourg Resident Individuals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Dividends and other payments derived from the ordinary shares held by resident individual holders, who act in the course of the management of either their private wealth or their professional/business activity, are subject to income tax at the ordinary progressive rates. Under current Luxembourg tax laws, 50% of the gross amount of dividends received by resident individuals from Alvotech may however be exempt from income tax.</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Capital gains realized on the disposal of the ordinary shares by resident individual shareholders, who act in the course of the management of their private wealth, are not subject to income tax, unless said capital gains qualify either as speculative gains or as gains on a substantial participation. Capital gains are deemed to be speculative if the ordinary shares are disposed of within six months after their acquisition or if their disposal precedes their acquisition. Speculative gains are subject to income tax as miscellaneous income at ordinary rates. A participation is deemed to be substantial where a resident individual shareholder holds or has held, either alone or together with his/her spouse or partner and/or minor children, directly or indirectly at any time within the five years preceding the disposal, more than 10% of the share capital of the company whose shares are being disposed of (the “Substantial Participation”). A holder of ordinary shares is also deemed to alienate a Substantial Participation if he acquired free of charge, within the five years preceding the transfer, a participation that was constituting a Substantial Participation in the hands of the alienator (or the alienators in case of successive transfers free of charge within the same five-year period). Capital gains realized on a Substantial Participation more than six months after the acquisition thereof are taxed according to the half-global rate method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average rate applicable to the total income is calculated according to progressive income tax rates and half of the average rate is applied to the capital gains realized on the Substantial Participation).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Capital gains realized on the disposal of the ordinary shares by resident individual holders, who act in the course of their professional/business activity, are subject to income tax at ordinary rates. Taxable gains are determined as being the difference between the price for which the ordinary shares have been disposed of and the lower of their cost or book value.</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Luxembourg Resident Companies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Dividends and other payments derived from the ordinary shares held by Luxembourg resident fully taxable companies are subject to income taxes, unless the conditions of the participation exemption regime, as described below, are satisfied. A tax credit is generally granted for withholding taxes levied at source within the limit of the tax payable in Luxembourg on such income, whereby any excess withholding tax is not refundable (but may be deductible under certain conditions). If the conditions of the participation exemption regime are not met, 50% of the dividends distributed by Alvotech to a Luxembourg fully taxable resident company are nevertheless exempt from income taxes.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dividends derived from the ordinary shares may be exempt from CIT and MBT at the level of the holder if (i) the holder is an Eligible Parent and (ii) at the time the dividend is put at the holder’s disposal, the latter holds or commits itself to hold for an uninterrupted period of at least 12 months a shareholding representing a direct participation of at least 10% in the share capital of Alvotech or a direct participation in Alvotech of an acquisition price of at least €1.2 million. Liquidation proceeds are assimilated to a received dividend and may be exempt under the same conditions. Capital gains realized by a Luxembourg fully-taxable resident company on the disposal of the ordinary shares are subject to income taxes at ordinary rates, unless the conditions of the participation exemption regime, as described below, are satisfied.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capital gains realized on the ordinary shares may be exempt from CIT and MBT (save for the recapture rules) at the level of the holder if cumulatively (i) the holder is a Eligible Parent and (ii) at the time the capital gain is realized, the holder holds or commits itself to hold for an uninterrupted period of at least 12 months shares representing either (a) a direct participation of at least 10% in the share capital of Alvotech or (b) a direct participation in Alvotech of an acquisition price of at least €6 million. Taxable gains are determined as being the difference between the price for which the ordinary shares have been disposed of and the lower of their cost or book value. Under Luxembourg tax law it is debatable to what extent the warrants are eligible for the participation exemption regime although certain case law supports such argumentation in certain circumstances.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purposes of the participation exemption regime, ordinary shares held through a tax transparent entity are considered as being a direct participation proportionally to the percentage held in the net assets of the transparent entity.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Luxembourg Resident Companies Benefiting from a Special Tax Regime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holder of ordinary shares who is a Luxembourg resident company benefiting from a special tax regime, such as (i) a specialized investment fund governed by the amended law of February 13, 2007, (ii) a family wealth management company governed by the amended law of May 11, 2007 (iii) an undertaking for collective investment governed by the amended law of December 17, 2010 or (iv) a reserved alternative investment fund treated as a specialized investment fund for Luxembourg tax purposes and governed by the amended law of July 23, 2016 is exempt from income taxes in Luxembourg and profits derived from the shares are thus not subject to income tax in Luxembourg.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Luxembourg Non-Residents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Non-resident holders of ordinary shares, who have neither a permanent establishment nor a permanent representative in Luxembourg to which or whom the ordinary shares are attributable, are not liable to any Luxembourg income taxes, whether they receive payments of dividends or realize capital gains on the disposal of the ordinary shares, except with respect to capital gains realized on a substantial participation before the acquisition or within the first six months of the acquisition thereof or where the non-resident holder has been a former Luxembourg resident for more than 15 years and has become a non-resident, at the time of transfer, less than five years ago, that are subject to income tax in Luxembourg at ordinary rates (subject to the provisions of any relevant double tax treaty) and except for the withholding tax mentioned above.</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Non-resident holders of ordinary shares having a permanent establishment or a permanent representative in Luxembourg to which or whom the ordinary shares are attributable, must include any income received, as well as any gain realized on the disposal of the ordinary shares, in their taxable income for Luxembourg tax assessment purposes, unless the conditions of the participation exemption regime, as described below, are satisfied. If the conditions of the participation exemption regime are not fulfilled, 50% of the gross amount of dividends received by a Luxembourg</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permanent establishment or permanent representative are however exempt from income taxes. Taxable gains are determined as being the difference between the price for which the ordinary shares have been disposed of and the lower of their cost or book value.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dividends derived from the ordinary shares may be exempt from income taxes if cumulatively (i) the ordinary shares are attributable to a qualified permanent establishment (“Qualified Permanent Establishment”) and (ii) at the time the dividend is put at the disposal of the Qualified Permanent Establishment, it holds or commits itself to hold a Qualified Shareholding in Alvotech. A Qualified Permanent Establishment means (a) a Luxembourg permanent establishment of a company covered by Article 2 of the Parent-Subsidiary Directive, (b) a Luxembourg permanent establishment of a capital company (</w:t>
      </w:r>
      <w:r>
        <w:rPr>
          <w:rFonts w:ascii="Times New Roman" w:cs="Times New Roman" w:eastAsia="Times New Roman" w:hAnsi="Times New Roman"/>
          <w:sz w:val="18"/>
          <w:szCs w:val="18"/>
          <w:i w:val="1"/>
          <w:iCs w:val="1"/>
          <w:color w:val="auto"/>
        </w:rPr>
        <w:t>société de capitaux</w:t>
      </w:r>
      <w:r>
        <w:rPr>
          <w:rFonts w:ascii="Times New Roman" w:cs="Times New Roman" w:eastAsia="Times New Roman" w:hAnsi="Times New Roman"/>
          <w:sz w:val="18"/>
          <w:szCs w:val="18"/>
          <w:color w:val="auto"/>
        </w:rPr>
        <w:t>) resident in a State having a double tax treaty with Luxembourg and (c) a Luxembourg permanent establishment of a capital company (</w:t>
      </w:r>
      <w:r>
        <w:rPr>
          <w:rFonts w:ascii="Times New Roman" w:cs="Times New Roman" w:eastAsia="Times New Roman" w:hAnsi="Times New Roman"/>
          <w:sz w:val="18"/>
          <w:szCs w:val="18"/>
          <w:i w:val="1"/>
          <w:iCs w:val="1"/>
          <w:color w:val="auto"/>
        </w:rPr>
        <w:t>société de capitaux</w:t>
      </w:r>
      <w:r>
        <w:rPr>
          <w:rFonts w:ascii="Times New Roman" w:cs="Times New Roman" w:eastAsia="Times New Roman" w:hAnsi="Times New Roman"/>
          <w:sz w:val="18"/>
          <w:szCs w:val="18"/>
          <w:color w:val="auto"/>
        </w:rPr>
        <w:t>) or a cooperative company (</w:t>
      </w:r>
      <w:r>
        <w:rPr>
          <w:rFonts w:ascii="Times New Roman" w:cs="Times New Roman" w:eastAsia="Times New Roman" w:hAnsi="Times New Roman"/>
          <w:sz w:val="18"/>
          <w:szCs w:val="18"/>
          <w:i w:val="1"/>
          <w:iCs w:val="1"/>
          <w:color w:val="auto"/>
        </w:rPr>
        <w:t>société</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coopérative</w:t>
      </w:r>
      <w:r>
        <w:rPr>
          <w:rFonts w:ascii="Times New Roman" w:cs="Times New Roman" w:eastAsia="Times New Roman" w:hAnsi="Times New Roman"/>
          <w:sz w:val="18"/>
          <w:szCs w:val="18"/>
          <w:color w:val="auto"/>
        </w:rPr>
        <w:t>) resident in a member state of the EEA other than an EU member state. Liquidation proceeds are assimilated to a received dividend and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 under the same conditions. ordinary shares held through a tax transparent entity are considered as being a direct participation proportionally to the percentage held in the net assets of the transparent entity.</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participation exemption regime (subject to the relevant anti-abuse rules), capital gains realized on the ordinary shares may be exempt from income taxes (save for the recapture rules) if cumulatively (i) the ordinary shares are attributable to a Qualified Permanent Establishment and (ii) at the time the capital gain is realized, the Qualified Permanent Establishment holds or commits itself to hold for an uninterrupted period of at least 12 months shares representing either (a) a direct participation in the share capital of Alvotech of at least 10% or (b) a direct participation in of an acquisition price of at least €6 million.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Worth Tax</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Luxembourg resident as well as a non-resident who has a permanent establishment or a permanent representative in Luxembourg to which the ordinary shares are attributable, are subject to Luxembourg NWT (subject to the application of the participation exemption regime) on such ordinary shares, except if the holder of ordinary shares is (i) a resident or non-resident individual taxpayer, (ii) a securitization company governed by the amended law of March 22, 2004 on securitization, (iii) a company governed by the amended law of June 15, 2004 on venture capital vehicles, (iv) a professional pension institution governed by the amended law of July 13, 2005, (v) a specialized investment fund governed by the amended law of February 13, 2007,</w:t>
      </w:r>
    </w:p>
    <w:p>
      <w:pPr>
        <w:spacing w:after="0" w:line="3" w:lineRule="exact"/>
        <w:rPr>
          <w:sz w:val="20"/>
          <w:szCs w:val="20"/>
          <w:color w:val="auto"/>
        </w:rPr>
      </w:pPr>
    </w:p>
    <w:p>
      <w:pPr>
        <w:ind w:firstLine="8"/>
        <w:spacing w:after="0" w:line="260"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family wealth management company governed by the law of May 11, 2007, (vii) an undertaking for collective investment governed by the amended law of December 17, 2010 or (viii) a reserved alternative investment fund governed by the amended law of July 23, 2016.</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However, (i) a securitization company governed by the amended law of March 22, 2004 on securitization, (ii) a tax-opaque company governed by the amended law of June 15, 2004 on venture capital vehicles (iii) a professional pension institution governed by the amended law dated July 13, 2005 and (iv) a tax-opaque reserved alternative investment fund treated as a venture capital vehicle for Luxembourg tax purposes and governed by the amended law of July 23, 2016 remain subject to the MNWT.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current Luxembourg tax laws, no registration tax or similar tax is in principle payable by the holder of ordinary shares upon the acquisition, holding or disposal of the ordinary shares. However, a fixed or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xml:space="preserve"> registration duty may be due upon the registration of the ordinary shares in Luxembourg in the case where the ordinary shares are physically attached to a public deed or to any other document subject to mandatory registration, as well as in the case of a registration of the ordinary shares on a voluntary basis.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inheritance tax is levied on the transfer of the ordinary shares upon death of a holder in cases where the deceased was not a resident of Luxembourg for inheritance tax purposes at the time of his death.</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Gift tax may be due on a gift or donation of the ordinary shares if the gift is recorded in a Luxembourg notarial deed or otherwise registered in Luxembourg.</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considerations generally applicable to the acquisition, ownership, and disposition of ordinary shares by a “U.S. Holder.” This discussion applies only to ordinary shares that are held by a U.S. Holder as “capital assets” within the meaning of Section 1221 of the Internal Revenue Code of 1986, as amended (the “Code”) (generally, property held for investment). This discussion does not describe all U.S. federal income tax considerations that may be relevant to a U.S. Holder in light of such U.S. Holder’s particular circumstances, nor does it address any state, local, or non-U.S. tax considerations, any non-income tax (such as gift or estate tax) considerations, any alternative minimum tax, the special tax accounting rules under Section 451(b) of the Code, the Medicare contribution tax on net investment income, or any tax considerations that may be relevant to U.S. Holders that are subject to special tax rules, including without limitation:</w:t>
      </w:r>
    </w:p>
    <w:p>
      <w:pPr>
        <w:spacing w:after="0" w:line="18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mutual funds, insurance companies, banks or other financial institutions;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pension or retirement plans;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brokers or dealers in securities or currencies and traders in securities that elect mark-to-market treatment;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regulated investment companies or real estate investment trusts;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trusts or estates;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tax-exempt organizations (including private foundations);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that hold ordinary shares as part of a “straddle,” “hedge,” “conversion,” “synthetic security,” “constructive sale,” or other integrated transaction for U.S. federal income tax purposes;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that have a functional currency other than the U.S. dollar;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owning (directly, indirectly, or constructively) 10% or more of our stock (by voting power or value);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persons that acquired ordinary shares pursuant to an exercise of employee stock options or otherwise as compensation;</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 corporations, partnerships or other entities or arrangements treated as pass-through entities for U.S. federal income tax purposes and investors in such entities; and</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ordinary shares, the tax treatment of a partner in such partnership generally will depend on the status of the partner and the activities of the partnership and the partner. Partnerships holding ordinary shares should consult their tax advisors regarding the tax consequences in their particular circumstances.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the U.S. Treasury regulations promulgated thereunder, administrative rulings, and judicial decisions, all as currently in effect and all of which are subject to change or differing interpretation, possibly with retroactive effect. Any such change or differing interpretation could alter the tax consequences described herein. Furthermore, there can be no assurance that the Internal Revenue Service (the “IRS”) will not challenge the tax considerations described herein and that a court will not sustain such challenge.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individual who is a U.S. citizen or resident of the United States;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“United States persons” within the meaning of Section 7701(a)(30) of the Code have the authority to control all substantial decisions of the trust or (B) that has in effect a valid election under applicable U.S. Treasury regulations to be treated as a United States person.</w:t>
      </w:r>
    </w:p>
    <w:p>
      <w:pPr>
        <w:spacing w:after="0" w:line="1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TAX CONSEQUENCES OF THE ACQUISTION, OWNERSHIP, AND DISPOSITION OF ORDINARY SHARES IN THEIR PARTICULAR CIRCUMSTANCES.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Distributions on Ordinary Shares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Subject to the PFIC (as defined below) rules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distributions on ordinary shares generally will be taxable as a dividend for U.S. federal income tax purposes to the extent paid from our current or accumulated earnings and profits, as determined under U.S. federal income tax principles. Such distributions in excess of our current and accumulated earnings and profits will constitute a return of capital that will be applied against and reduce (but not below zero) the applicable U.S. Holder’s adjusted tax basis in its ordinary shares. Any remaining excess will be treated as gain realized on the sale or other taxable disposition of ordinary shares and will be treated as described below under “— </w:t>
      </w:r>
      <w:r>
        <w:rPr>
          <w:rFonts w:ascii="Times New Roman" w:cs="Times New Roman" w:eastAsia="Times New Roman" w:hAnsi="Times New Roman"/>
          <w:sz w:val="18"/>
          <w:szCs w:val="18"/>
          <w:i w:val="1"/>
          <w:iCs w:val="1"/>
          <w:color w:val="auto"/>
        </w:rPr>
        <w:t>Sale or Other Taxable Disposition of the Ordinary Shares.</w:t>
      </w:r>
      <w:r>
        <w:rPr>
          <w:rFonts w:ascii="Times New Roman" w:cs="Times New Roman" w:eastAsia="Times New Roman" w:hAnsi="Times New Roman"/>
          <w:sz w:val="18"/>
          <w:szCs w:val="18"/>
          <w:color w:val="auto"/>
        </w:rPr>
        <w:t>” The amount of any such distributions will include any amounts required to be withheld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another applicable withholding agent) in respect of any non-U.S. taxes. Any such amount treated as a dividend will be treated as foreign-source dividend income. Any such dividends received by a corporate U.S. Holder generally will not qualify for the dividends-received deduction generally allowed to U.S. corporations in respect of dividends received from other U.S. corporations. With respect to non-corporate U.S. Holders, any such dividends generally will be taxed at currently preferential long-term capital gains rates only if (i) ordinary shares are readily tradable on an established securities market in the United States or we are eligible for benefits under an applicable tax treaty with the United States, (ii) we are not treated as a PFIC with respect to the applicable U.S. Holder for the taxable year in which the dividend was paid or in the preceding taxable year, and (iii) certain holding period and other requirements are met. Any such dividends paid in a currency other than the U.S. dollar generally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actual or constructive receipt.</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noted above and subject to applicable limitations, taxing jurisdictions other than the United States may withhold taxes from distributions on ordinary shares, and a U.S. Holder may be eligible for a reduced rate of withholding to the extent there is an applicable tax treaty between the applicable taxing jurisdiction and the United States and/or may be eligible for a foreign tax credit against the U.S. Holder’s U.S. federal income tax liability. U.S. Treasury regulations may in some circumstances prohibit a U.S. Holder from claiming a foreign tax credit with respect to certain foreign taxes that are not creditable under applicable tax treaties. In lieu of claiming a foreign tax credit, a U.S. Holder may, at such U.S. Holder’s election, deduct foreign taxes in computing such U.S. Holder’s taxable income, subject to generally applicable limitations under U.S. tax law. An election to deduct foreign taxes in lieu of claiming a foreign tax credit applies to all foreign taxes paid or accrued in the taxable year in which such election is made. The foreign tax credit rules are complex and U.S. Holders should consult their tax advisers regarding the application of such rules, including the creditability of foreign taxes, in their particular circumstances.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Ordinary Shares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upon any sale or other taxable disposition of ordinary shares, a U.S. Holder generally will recognize gain or loss in an amount equal to the difference, if any, between (i) the sum of (A) the amount of cash and (B) the fair market value of any other property received in such sale or disposition and (ii) the U.S. Holder’s adjusted tax basis in the ordinary shares. Any such gain or loss generally will be capital gain or loss and will be long-term capital gain or loss if the U.S. Holder’s holding period for such ordinary shares exceeds one year. Long-term capital gain recognized by non-corporate U.S. Holders generally will be taxed at currently preferential long-term capital gains rates. The deductibility of capital losses is subject to limitations. For foreign tax credit purposes, any such gain or loss generally will be treated as U.S. source gain or loss.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consideration received by a U.S. Holder upon a sale or other taxable disposition of ordinary shares is not paid in U.S. dollars, the amount realized will be the U.S. dollar value of such payment calculated by reference to the exchange rate in effect on the date of such sale or disposition. A U.S. Holder may have foreign currency gain or loss to the extent of the difference, if any, between (i) the U.S. dollar value of such payment on the date of such sale or disposition and (ii) the U.S. dollar value of such payment calculated by reference to the exchange rate in effect on the date of settlement.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tax consequences of a sale or other taxable disposition of ordinary shares, including the creditability of foreign taxes imposed on such sale or disposition by a taxing jurisdiction other than the United States, in their particular circumstances.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U.S. federal income tax treatment of U.S. Holders could be materially different from that described above if we are treated as a passive foreign investment company (“PFIC”) for U.S. federal income tax purposes. A non-U.S. corporation generally will be treated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our analysis of our income, assets, activities and market capitalization, we believe that we were not treated as a PFIC for our taxable year ended December 31, 2025. However, the determination of whether a non-U.S. corporation is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our market capitalization from time to time, which may fluctuate considerably. As a result, there can be no assurance with respect to our status as a PFIC for any taxable year and the IRS may disagree with our determination of our PFIC status. Our U.S. counsel expresses no opinion with respect to our PFIC status for any taxable year.</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Although PFIC status is generally determined annually, if we are determined to be a PFIC for any taxable year (or portion thereof) that is included in the holding period of a U.S. Holder in its ordinary shares and the U.S. Holder did not make either a mark-to-market election or a qualified electing fund (“QEF”) election, which are referred to collectively as the “PFIC Elections” for purposes of this discussion, for the first taxable year in which we are treated as a PFIC, and in which the U.S. Holder held (or was deemed to hold) ordinary shares, or the U.S. Holder does not otherwise make a purging election, as described below, the U.S. Holder generally will be subject to special and adverse rules with respect to (i) any gain recognized by the U.S. Holder on the sale or other taxable disposition of its ordinary shares and (ii) any “excess distribution” made to the U.S. Holder (generally, any distributions to the U.S. Holder during a taxable year of the U.S. Holder that are greater than 125% of the average annual distributions received by the U.S. Holder in respect of its ordinary shares during the three preceding taxable years of the U.S. Holder or, if shorter, the U.S. Holder’s holding period in its ordinary shares).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color w:val="auto"/>
        </w:rPr>
        <w:t>Under these rules: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in its ordinary shares;</w:t>
      </w:r>
    </w:p>
    <w:p>
      <w:pPr>
        <w:spacing w:after="0" w:line="224" w:lineRule="exact"/>
        <w:rPr>
          <w:rFonts w:ascii="Arial" w:cs="Arial" w:eastAsia="Arial" w:hAnsi="Arial"/>
          <w:sz w:val="18"/>
          <w:szCs w:val="18"/>
          <w:b w:val="1"/>
          <w:bCs w:val="1"/>
          <w:color w:val="auto"/>
        </w:rPr>
      </w:pPr>
    </w:p>
    <w:p>
      <w:pPr>
        <w:jc w:val="both"/>
        <w:ind w:left="660" w:right="20" w:hanging="328"/>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 allocated to the U.S. Holder’s taxable year in which the U.S. Holder recognized the gain or received the excess distribution, and to any period in the U.S. Holder’s holding period before the first day of the first taxable year in which we are treated as a PFIC, will be taxed as ordinary income;</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amount allocated to other taxable years (or portions thereof) of the U.S. Holder and included in the U.S. Holder’s holding period will be taxed at the highest tax rate in effect for that year and applicable to the U.S. Holder; and</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PFIC Elections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treated as a PFIC and ordinary shares constitute “marketable stock,” a U.S. Holder may avoid certain adverse PFIC tax consequences discussed above if such U.S. Holder makes a mark-to-market election with respect to its ordinary shares for the first taxable year in which the U.S. Holder holds (or is deemed to hold) ordinary shares and each subsequent taxable year. Such U.S. Holder generally will include for each of its taxable years as ordinary income the excess, if any, of the fair market value of its ordinary shares at the end of such year over its adjusted tax basis in its ordinary shares. The U.S. Holder also will recognize an ordinary loss in respect of the excess, if any, of its adjusted tax basis in its ordinary shares over the fair market value of its ordinary shares at the end of its taxable year (but only to the extent of the net amount of previously included income as a result of the mark-to-market election). The U.S. Holder’s adjusted tax basis in its ordinary shares will be adjusted to reflect any such income or loss amounts, and any further gain recognized on a sale or other taxable disposition of its ordinary shares will be treated as ordinary income.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generally, stock that is regularly traded on a national securities exchange that is registered with the Securities and Exchange Commission, including the Nasdaq (on which ordinary shares are currently listed), or on a foreign exchange or market that the IRS determines has rules sufficient to ensure that the market price represents a legitimate and sound fair market value. As such, such election generally will not apply to any of our non-U.S. subsidiaries, unless the shares in such subsidiaries are themselves “marketable stock.” As such, U.S. Holders may continue to be subject to the adverse PFIC tax consequences discussed above with respect to any lower-tier PFICs, as discussed below, notwithstanding their mark-to-market election with respect to ordinary shares.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made, a mark-to-market election would be effective for the taxable year for which the election was made and for all subsequent taxable years unless ordinary shares cease to qualify as “marketable stock” for purposes of the PFIC rules or the IRS consents to the revocation of the election. U.S. Holders should consult their tax advisors regarding the availability and tax consequences of a mark-to-market election with respect to ordinary shares in their particular circumstances.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consequences that would apply if we were a PFIC and a U.S. Holder made a valid QEF election would also be different from the adverse PFIC tax consequences described above. In order to comply with the requirements of a QEF election, however, a U.S. Holder generally must receive a PFIC Annual Information Statement from us. If we are determined to be a PFIC for any taxable year, we do not currently intend to provide the information necessary for U.S. Holders to make or maintain a QEF election. As such, U.S. Holders should assume that a QEF election will not be available with respect to ordinary shares.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treated as a PFIC and a U.S. Holder failed or was unable to timely make a PFIC Election for prior periods, the U.S. Holder might seek to make a purging election to rid its ordinary shares of the PFIC taint. Under the purging election, the U.S. Holder will be deemed to have sold its ordinary shares at their fair market value and any gain recognized on such deemed sale will be treated as an excess distribution, as described above. As a result of the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purging election, the U.S. Holder will have a new adjusted tax basis and holding period in ordinary shares solely for purposes of the PFIC rules.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PFIC Rules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treated as a PFIC and, at any time, has a non-U.S. subsidiary that is treated as a PFIC, a U.S. Holder generally would be deemed to own a proportionate amount of the shares of such lower-tier PFIC, and generally could incur liability for the deferred tax and interest charge described above if we receive a distribution from, or sell or otherwise dispose of all or part of our interest in, such lower-tier PFIC, or the U.S. Holder otherwise was deemed to have sold or otherwise disposed of an interest in such lower-tier PFIC. U.S. Holders should consult their tax advisors regarding the application of the lower-tier PFIC rules in their particular circumstances.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U.S. Holder that owns (or is deemed to own) shares in a PFIC during any taxable year may have to file an IRS Form 8621 (whether or not a QEF election or a mark-to-market election is made) and to provide such other information as may be required by the U.S. Treasury Department. Failure to do so, if required, will extend the statute of limitations applicable to such U.S. Holder until such required information is furnished to the IRS and could result in penalties.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VERY COMPLEX. U.S. HOLDERS SHOULD CONSULT THEIR TAX ADVISORS REGARDING THE APPLICATION OF SUCH RULES IN THEIR PARTICULAR CIRCUMSTANCES.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information reporting requirements and the application of the backup withholding rules in their particular circumstances.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FOR GENERAL INFORMATIONAL PURPOSES ONLY AND IS NOT TAX ADVICE. U.S. HOLDERS SHOULD CONSULT THEIR TAX ADVISORS REGARDING THE U.S. FEDERAL, STATE, AND LOCAL AND NON-U.S. INCOME AND NON-INCOME TAX CONSEQUENCES OF THE ACQUISITION, OWNERSHIP, AND DISPOSITION OF ORDINARY SHARES, INCLUDING THE IMPACT OF ANY POTENTIAL CHANGE IN LAW, IN THEIR PARTICULAR CIRCUMSTANCES.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BofA Securities, Inc., Jefferies LLC and Evercore Group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ordinary shares set forth opposite its name below.</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Underwriter</w:t>
            </w:r>
          </w:p>
        </w:tc>
        <w:tc>
          <w:tcPr>
            <w:tcW w:w="67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67"/>
        </w:trPr>
        <w:tc>
          <w:tcPr>
            <w:tcW w:w="760" w:type="dxa"/>
            <w:vAlign w:val="bottom"/>
            <w:tcBorders>
              <w:bottom w:val="single" w:sz="8" w:color="auto"/>
            </w:tcBorders>
            <w:vMerge w:val="continue"/>
          </w:tcPr>
          <w:p>
            <w:pPr>
              <w:spacing w:after="0"/>
              <w:rPr>
                <w:sz w:val="14"/>
                <w:szCs w:val="14"/>
                <w:color w:val="auto"/>
              </w:rPr>
            </w:pPr>
          </w:p>
        </w:tc>
        <w:tc>
          <w:tcPr>
            <w:tcW w:w="6700" w:type="dxa"/>
            <w:vAlign w:val="bottom"/>
          </w:tcPr>
          <w:p>
            <w:pPr>
              <w:spacing w:after="0"/>
              <w:rPr>
                <w:sz w:val="14"/>
                <w:szCs w:val="14"/>
                <w:color w:val="auto"/>
              </w:rPr>
            </w:pPr>
          </w:p>
        </w:tc>
        <w:tc>
          <w:tcPr>
            <w:tcW w:w="2000" w:type="dxa"/>
            <w:vAlign w:val="bottom"/>
            <w:tcBorders>
              <w:bottom w:val="single" w:sz="8" w:color="0A0A0A"/>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Ordinary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-7620</wp:posOffset>
            </wp:positionV>
            <wp:extent cx="634365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6343650" cy="145415"/>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5715</wp:posOffset>
            </wp:positionV>
            <wp:extent cx="63436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6343650" cy="13716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5715</wp:posOffset>
            </wp:positionV>
            <wp:extent cx="1268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ind w:left="15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8890</wp:posOffset>
            </wp:positionV>
            <wp:extent cx="12687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26035</wp:posOffset>
            </wp:positionV>
            <wp:extent cx="12687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3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ordinary shares sold under the underwriting agreement if any of these ordinary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ordinary shares, subject to prior sale, when, as and if issued to and accepted by them, subject to approval of legal matters by their counsel, including the validity of the ordinary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address of BofA Securities, Inc. is One Bryant Park, New York, New York 10036, the address of Jefferies LLC is 520 Madison Avenue, New York, New York 10022 and the address of Evercore Group L.L.C. is 55 East 52nd Street, New York, New York 10055.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ordinary shares to the public at the public offering price set</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forth on the cover page of this prospectus supplement and to dealers at that price less a concession not in excess of $ per ordinary share. After the initial offering, the public offering price, concession or any other term of the offering may be changed.</w:t>
      </w:r>
    </w:p>
    <w:p>
      <w:pPr>
        <w:spacing w:after="0" w:line="18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ordinary shares.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920" w:type="dxa"/>
            <w:vAlign w:val="bottom"/>
            <w:gridSpan w:val="5"/>
            <w:vMerge w:val="restart"/>
          </w:tcPr>
          <w:p>
            <w:pPr>
              <w:jc w:val="center"/>
              <w:ind w:left="1054"/>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920" w:type="dxa"/>
            <w:vAlign w:val="bottom"/>
            <w:gridSpan w:val="5"/>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Without Option</w:t>
            </w:r>
          </w:p>
        </w:tc>
        <w:tc>
          <w:tcPr>
            <w:tcW w:w="800" w:type="dxa"/>
            <w:vAlign w:val="bottom"/>
          </w:tcPr>
          <w:p>
            <w:pPr>
              <w:spacing w:after="0"/>
              <w:rPr>
                <w:sz w:val="11"/>
                <w:szCs w:val="11"/>
                <w:color w:val="auto"/>
              </w:rPr>
            </w:pPr>
          </w:p>
        </w:tc>
        <w:tc>
          <w:tcPr>
            <w:tcW w:w="128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With Option</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Share</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4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20" w:type="dxa"/>
            <w:vAlign w:val="bottom"/>
            <w:shd w:val="clear" w:color="auto" w:fill="E5FF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260" w:type="dxa"/>
            <w:vAlign w:val="bottom"/>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shd w:val="clear" w:color="auto" w:fill="E5FF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62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4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20" w:type="dxa"/>
            <w:vAlign w:val="bottom"/>
            <w:shd w:val="clear" w:color="auto" w:fill="E5FFFF"/>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260" w:type="dxa"/>
            <w:vAlign w:val="bottom"/>
            <w:shd w:val="clear" w:color="auto" w:fill="E5FF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800" w:type="dxa"/>
            <w:vAlign w:val="bottom"/>
            <w:shd w:val="clear" w:color="auto" w:fill="E5FF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5FFFF"/>
          </w:tcPr>
          <w:p>
            <w:pPr>
              <w:spacing w:after="0"/>
              <w:rPr>
                <w:sz w:val="18"/>
                <w:szCs w:val="18"/>
                <w:color w:val="auto"/>
              </w:rPr>
            </w:pPr>
          </w:p>
        </w:tc>
        <w:tc>
          <w:tcPr>
            <w:tcW w:w="520" w:type="dxa"/>
            <w:vAlign w:val="bottom"/>
            <w:shd w:val="clear" w:color="auto" w:fill="E5FF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 w:type="dxa"/>
            <w:vAlign w:val="bottom"/>
          </w:tcPr>
          <w:p>
            <w:pPr>
              <w:spacing w:after="0"/>
              <w:rPr>
                <w:sz w:val="24"/>
                <w:szCs w:val="24"/>
                <w:color w:val="auto"/>
              </w:rPr>
            </w:pPr>
          </w:p>
        </w:tc>
        <w:tc>
          <w:tcPr>
            <w:tcW w:w="64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w w:val="99"/>
              </w:rPr>
              <w:t>The expenses of the offering, not including the underwriting discount, are estimated at $</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and are payable by us.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920" w:type="dxa"/>
            <w:vAlign w:val="bottom"/>
            <w:gridSpan w:val="5"/>
          </w:tcPr>
          <w:p>
            <w:pPr>
              <w:ind w:left="1380"/>
              <w:spacing w:after="0"/>
              <w:rPr>
                <w:sz w:val="20"/>
                <w:szCs w:val="20"/>
                <w:color w:val="auto"/>
              </w:rPr>
            </w:pPr>
            <w:r>
              <w:rPr>
                <w:rFonts w:ascii="Times New Roman" w:cs="Times New Roman" w:eastAsia="Times New Roman" w:hAnsi="Times New Roman"/>
                <w:sz w:val="18"/>
                <w:szCs w:val="18"/>
                <w:color w:val="auto"/>
              </w:rPr>
              <w:t>S-28</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bottom w:val="single" w:sz="8" w:color="C0C0C0"/>
            </w:tcBorders>
          </w:tcPr>
          <w:p>
            <w:pPr>
              <w:spacing w:after="0"/>
              <w:rPr>
                <w:sz w:val="21"/>
                <w:szCs w:val="21"/>
                <w:color w:val="auto"/>
              </w:rPr>
            </w:pPr>
          </w:p>
        </w:tc>
        <w:tc>
          <w:tcPr>
            <w:tcW w:w="3480" w:type="dxa"/>
            <w:vAlign w:val="bottom"/>
            <w:tcBorders>
              <w:bottom w:val="single" w:sz="8" w:color="C0C0C0"/>
            </w:tcBorders>
          </w:tcPr>
          <w:p>
            <w:pPr>
              <w:spacing w:after="0"/>
              <w:rPr>
                <w:sz w:val="21"/>
                <w:szCs w:val="21"/>
                <w:color w:val="auto"/>
              </w:rPr>
            </w:pPr>
          </w:p>
        </w:tc>
        <w:tc>
          <w:tcPr>
            <w:tcW w:w="162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34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48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98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800" w:type="dxa"/>
            <w:vAlign w:val="bottom"/>
            <w:tcBorders>
              <w:bottom w:val="single" w:sz="8" w:color="C0C0C0"/>
            </w:tcBorders>
          </w:tcPr>
          <w:p>
            <w:pPr>
              <w:spacing w:after="0"/>
              <w:rPr>
                <w:sz w:val="21"/>
                <w:szCs w:val="21"/>
                <w:color w:val="auto"/>
              </w:rPr>
            </w:pPr>
          </w:p>
        </w:tc>
        <w:tc>
          <w:tcPr>
            <w:tcW w:w="760" w:type="dxa"/>
            <w:vAlign w:val="bottom"/>
            <w:tcBorders>
              <w:bottom w:val="single" w:sz="8" w:color="C0C0C0"/>
            </w:tcBorders>
          </w:tcPr>
          <w:p>
            <w:pPr>
              <w:spacing w:after="0"/>
              <w:rPr>
                <w:sz w:val="21"/>
                <w:szCs w:val="21"/>
                <w:color w:val="auto"/>
              </w:rPr>
            </w:pPr>
          </w:p>
        </w:tc>
        <w:tc>
          <w:tcPr>
            <w:tcW w:w="52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to additional ordinary shares at the public offering price, less the underwriting discount. If the underwriters exercise this option, each will be obligated, subject to conditions contained in the underwriting agreement, to purchase a number of additional ordinary shares proportionate to that underwriter’s initial amount reflected in the above table.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our executive officers, directors and certain securityholders have agreed not to (and will cause any family member not to) sell or transfer any ordinary shares or securities convertible into, exchangeable for, exercisable for, or repayable with ordinary shares, for 90 days after the date of this prospectus supplement without first obtaining the written consent of the representatives. Specifically, we and these other parties have agreed, with certain limited exceptions, not to directly or indirectly</w:t>
      </w:r>
    </w:p>
    <w:p>
      <w:pPr>
        <w:spacing w:after="0" w:line="180" w:lineRule="exact"/>
        <w:rPr>
          <w:sz w:val="20"/>
          <w:szCs w:val="20"/>
          <w:color w:val="auto"/>
        </w:rPr>
      </w:pPr>
    </w:p>
    <w:p>
      <w:pPr>
        <w:ind w:left="980" w:right="280" w:hanging="324"/>
        <w:spacing w:after="0" w:line="281" w:lineRule="auto"/>
        <w:tabs>
          <w:tab w:leader="none" w:pos="9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sell or offer to sell any ordinary shares or related securities currently or hereafter owned either of record or beneficially (as defined in Rule 13d-3 under the Exchange Act),</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enter into any swap,</w:t>
      </w:r>
    </w:p>
    <w:p>
      <w:pPr>
        <w:spacing w:after="0" w:line="224" w:lineRule="exact"/>
        <w:rPr>
          <w:rFonts w:ascii="Arial" w:cs="Arial" w:eastAsia="Arial" w:hAnsi="Arial"/>
          <w:sz w:val="18"/>
          <w:szCs w:val="18"/>
          <w:b w:val="1"/>
          <w:bCs w:val="1"/>
          <w:color w:val="auto"/>
        </w:rPr>
      </w:pPr>
    </w:p>
    <w:p>
      <w:pPr>
        <w:ind w:left="980" w:hanging="324"/>
        <w:spacing w:after="0" w:line="265" w:lineRule="auto"/>
        <w:tabs>
          <w:tab w:leader="none" w:pos="9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ordinary shares or related securities, or cause to be filed a registration statement, prospectus or prospectus supplement (or an amendment or supplement thereto) with respect to any such registration, or</w:t>
      </w:r>
    </w:p>
    <w:p>
      <w:pPr>
        <w:spacing w:after="0" w:line="177" w:lineRule="exact"/>
        <w:rPr>
          <w:rFonts w:ascii="Arial" w:cs="Arial" w:eastAsia="Arial" w:hAnsi="Arial"/>
          <w:sz w:val="18"/>
          <w:szCs w:val="18"/>
          <w:b w:val="1"/>
          <w:bCs w:val="1"/>
          <w:color w:val="auto"/>
        </w:rPr>
      </w:pPr>
    </w:p>
    <w:p>
      <w:pPr>
        <w:ind w:left="980" w:hanging="324"/>
        <w:spacing w:after="0"/>
        <w:tabs>
          <w:tab w:leader="none" w:pos="9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publicly announce any intention to do any of the foregoing.</w:t>
      </w:r>
    </w:p>
    <w:p>
      <w:pPr>
        <w:spacing w:after="0" w:line="22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lock-up provision applies to ordinary shares and to securities convertible into or exchangeable or exercisable for or repayable with ordinary shares. It also applies to ordinary shares owned now or acquired later by the parties executing the agreement or for which the party executing the agreement later acquires the power of disposition.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ordinary shares are listed on the Nasdaq Global Market and the Nasdaq Iceland Main Market under the symbol “ALVO.”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Until the distribution of the ordinary shares is completed, SEC rules may limit underwriters and selling group members from bidding for and purchasing our ordinary shares. However, the representatives may engage in transactions that stabilize the price of the ordinary shares, such as bids or purchases to peg, fix or maintain that price.</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ordinary shares in the open market. These transactions may include short sales, purchases on the open market to cover positions created by short sales and stabilizing transactions. Short sales involve the sale by the underwriters of a greater number of ordinary shares than they are required to purchase in the offering. “Covered” short sales are sales made in an amount not greater than the underwriters’ option to purchase additional ordinary shares described above. The underwriters may close out any covered short position by either exercising their option to purchase additional ordinary shares or purchasing ordinary shares in the open market. In determining the source of ordinary shares to close out the covered short position, the underwriters will consider, among other things, the price of ordinary shares available for purchase in the open market as compared to the price at which they may purchase ordinary shares through the option granted to them. “Naked” short sales are sales in excess of such option. The underwriters must close out any naked short position by purchasing ordinary shares in the open market. A naked short position is more likely to be created if the underwriters are concerned that there may be downward pressure on the price of our ordinary shares in the open market after pricing that could adversely affect investors who purchase in the offering.</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ind w:right="180"/>
        <w:spacing w:after="0" w:line="282" w:lineRule="auto"/>
        <w:rPr>
          <w:sz w:val="20"/>
          <w:szCs w:val="20"/>
          <w:color w:val="auto"/>
        </w:rPr>
      </w:pPr>
      <w:r>
        <w:rPr>
          <w:rFonts w:ascii="Times New Roman" w:cs="Times New Roman" w:eastAsia="Times New Roman" w:hAnsi="Times New Roman"/>
          <w:sz w:val="18"/>
          <w:szCs w:val="18"/>
          <w:color w:val="auto"/>
        </w:rPr>
        <w:t>Stabilizing transactions consist of various bids for or purchases of ordinary shares made by the underwriters in the open market prior to the completion of the offering.</w:t>
      </w:r>
    </w:p>
    <w:p>
      <w:pPr>
        <w:spacing w:after="0" w:line="162"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The underwriters may conduct these transactions on the Nasdaq Global Market, in the over-the-counter market or otherwise.</w:t>
      </w:r>
    </w:p>
    <w:p>
      <w:pPr>
        <w:spacing w:after="0" w:line="18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ordinary shares. In addition, neither we nor any of the underwriters make any representation that the representatives will engage in these transactions or that these transactions, once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underwriters and selling group members may engage in passive market making transactions in the ordinary shares on the Nasdaq Global Market in accordance with Rule 103 of Regulation M under the Exchange Act during a period before the commencement of offers or sales of ordinary shares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ordinary shares to be higher than the price that otherwise would exist in the open market in the absence of those transactions. The underwriters and dealers are not required to engage in passive market making and may end passive market making activities at any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w:t>
      </w:r>
    </w:p>
    <w:p>
      <w:pPr>
        <w:ind w:right="280"/>
        <w:spacing w:after="0" w:line="239" w:lineRule="auto"/>
        <w:rPr>
          <w:sz w:val="20"/>
          <w:szCs w:val="20"/>
          <w:color w:val="auto"/>
        </w:rPr>
      </w:pPr>
      <w:r>
        <w:rPr>
          <w:rFonts w:ascii="Times New Roman" w:cs="Times New Roman" w:eastAsia="Times New Roman" w:hAnsi="Times New Roman"/>
          <w:sz w:val="18"/>
          <w:szCs w:val="18"/>
          <w:color w:val="auto"/>
        </w:rPr>
        <w:t>transactions. For example, on June 14, 2024, we entered in an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with Jefferies LLC, pursuant to which we may offer and sell our ordinary shares have an aggregate offering price of up to $75.0 million from time to time in at-the-market offerings at prices and on terms to be determined by market conditions at the time of the offering, with Jefferies LLC acting as our sales agent. In connection with this offering, we have terminated the prospectus supplement relating to the “at-the-market” offering and, as such, may not make additional sales under the Open Market Sale Agreement</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until another prospectus supplement is filed with the SEC.</w:t>
      </w:r>
    </w:p>
    <w:p>
      <w:pPr>
        <w:spacing w:after="0" w:line="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ordinary shares have been offered or will be offered pursuant to the offering to the public in that Relevant State prior to the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right="260"/>
        <w:spacing w:after="0" w:line="261" w:lineRule="auto"/>
        <w:rPr>
          <w:sz w:val="20"/>
          <w:szCs w:val="20"/>
          <w:color w:val="auto"/>
        </w:rPr>
      </w:pPr>
      <w:r>
        <w:rPr>
          <w:rFonts w:ascii="Times New Roman" w:cs="Times New Roman" w:eastAsia="Times New Roman" w:hAnsi="Times New Roman"/>
          <w:sz w:val="18"/>
          <w:szCs w:val="18"/>
          <w:color w:val="auto"/>
        </w:rPr>
        <w:t>publication of a prospectus in relation to the ordinary shares which has been approved by the competent authority in that Relevant State or, where appropriate, approved in another Relevant State and notified to the competent authority in that Relevant State, all in accordance with the Prospectus Regulation), except that offers of ordinary shares may be made to the public in that Relevant State at any time under the following exemptions under the Prospectus Regulation:</w:t>
      </w:r>
    </w:p>
    <w:p>
      <w:pPr>
        <w:spacing w:after="0" w:line="180"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the Issuer or any Manager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right="440" w:firstLine="648"/>
        <w:spacing w:after="0" w:line="312" w:lineRule="auto"/>
        <w:rPr>
          <w:sz w:val="20"/>
          <w:szCs w:val="20"/>
          <w:color w:val="auto"/>
        </w:rPr>
      </w:pPr>
      <w:r>
        <w:rPr>
          <w:rFonts w:ascii="Times New Roman" w:cs="Times New Roman" w:eastAsia="Times New Roman" w:hAnsi="Times New Roman"/>
          <w:sz w:val="17"/>
          <w:szCs w:val="17"/>
          <w:color w:val="auto"/>
        </w:rPr>
        <w:t>Each person in a Relevant State who initially acquires any ordinary shares or to whom any offer is made will be deemed to have represented, acknowledged and agreed to and with the Company and the managers that it is a qualified investor within the meaning of the Prospectus Regulation.</w:t>
      </w:r>
    </w:p>
    <w:p>
      <w:pPr>
        <w:spacing w:after="0" w:line="14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 Article 5(1) of the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managers has been obtained to each such proposed offer or resale.</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the managers and their affiliates will rely upon the truth and accuracy of the foregoing representations, acknowledgements and agreements.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ordinary shares in any Relevant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relation to the United Kingdom (“UK”), no ordinary shares have been offered or will be offered pursuant to the offering to the public in the UK prior to the publication of a prospectus in relation to the ordinary shares which has been approved by the Financial Conduct Authority in the UK in accordance with the UK Prospectus Regulation and the FSMA, except that offers of ordinary shares may be made to the public in the UK at any time under the following exemptions under the UK Prospectus Regulation and the FSMA:</w:t>
      </w:r>
    </w:p>
    <w:p>
      <w:pPr>
        <w:spacing w:after="0" w:line="180" w:lineRule="exact"/>
        <w:rPr>
          <w:sz w:val="20"/>
          <w:szCs w:val="20"/>
          <w:color w:val="auto"/>
        </w:rPr>
      </w:pPr>
    </w:p>
    <w:p>
      <w:pPr>
        <w:ind w:left="5480" w:right="3040" w:hanging="4500"/>
        <w:spacing w:after="0" w:line="485" w:lineRule="auto"/>
        <w:tabs>
          <w:tab w:leader="none" w:pos="13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 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1300" w:right="420" w:hanging="320"/>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the Issuer or any Manager to publish a prospectus pursuant to Section 85 of the FSMA or Article 3 of the UK Prospectus Regulation or supplement a prospectus pursuant to Article 23 of the UK Prospectus Regulation.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person in the UK who initially acquires any ordinary shares or to whom any offer is made will be deemed to have represented, acknowledged and agreed to and with the Company and the Managers that it is a qualified investor within the meaning of the UK Prospectus Regulation.</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 Article 5(1) of the UK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managers has been obtained to each such proposed offer or resale.</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the managers and their affiliates will rely upon the truth and accuracy of the foregoing representations, acknowledgements and agreements.</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ordinary shares in the UK means the communication in any form and by any means of sufficient information on the terms of the offer and any ordinary shares to be offered so as to enable an investor to decide to purchase or subscribe for any ordinary shares, the expression “UK Prospectus Regulation” means Regulation (EU) 2017/1129 as it forms part of domestic law by virtue of the European Union (Withdrawal) Act 2018, and the expression “FSMA” means the Financial Services and Markets Act 2000.</w:t>
      </w:r>
    </w:p>
    <w:p>
      <w:pPr>
        <w:spacing w:after="0" w:line="18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ordinary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right="600"/>
        <w:spacing w:after="0" w:line="282" w:lineRule="auto"/>
        <w:rPr>
          <w:sz w:val="20"/>
          <w:szCs w:val="20"/>
          <w:color w:val="auto"/>
        </w:rPr>
      </w:pPr>
      <w:r>
        <w:rPr>
          <w:rFonts w:ascii="Times New Roman" w:cs="Times New Roman" w:eastAsia="Times New Roman" w:hAnsi="Times New Roman"/>
          <w:sz w:val="18"/>
          <w:szCs w:val="18"/>
          <w:color w:val="auto"/>
        </w:rPr>
        <w:t>document nor any other offering or marketing material relating to the ordinary shares or the offering may be publicly distributed or otherwise made publicly available in Switzerland.</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ordinary shares have been or will be filed with or approved by any Swiss regulatory authority. In particular, this document will not be filed with, and the offer of ordinary shares will not be supervised by, the Swiss Financial Market Supervisory Authority FINMA (FINMA), and the offer of ordinary shares has not been and will not be authorized under the Swiss Federal Act on Collective Investment Schemes (“CISA”). The investor protection afforded to acquirers of interests in collective investment schemes under the CISA does not extend to acquirers of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ordinary shares to which this prospectus supplement relates may be illiquid and/or subject to restrictions on their resale. Prospective purchasers of the ordinary shares offered should conduct their own due diligence on the ordinary shares. If you do not understand the contents of this prospectus supplement you should consult an authorized financial advisor.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ordinary shares without disclosure to investors under Chapter 6D of the Corporations Act.</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ordinary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ordinary shares must observe such Australian on-sale restrictions.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ordinary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ind w:right="60"/>
        <w:spacing w:after="0" w:line="258" w:lineRule="auto"/>
        <w:rPr>
          <w:sz w:val="20"/>
          <w:szCs w:val="20"/>
          <w:color w:val="auto"/>
        </w:rPr>
      </w:pPr>
      <w:r>
        <w:rPr>
          <w:rFonts w:ascii="Times New Roman" w:cs="Times New Roman" w:eastAsia="Times New Roman" w:hAnsi="Times New Roman"/>
          <w:sz w:val="18"/>
          <w:szCs w:val="18"/>
          <w:color w:val="auto"/>
        </w:rPr>
        <w:t>constitute an offer to the public within the meaning of that Ordinance. No advertisement, invitation or document relating to the ordinary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ordinary shares which are or are intended to be disposed of only to persons outside Hong Kong or only to “professional investors” as defined in the Securities and Futures Ordinance and any rules made under that Ordinance.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ordinary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ordinary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ordinary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the ordinary shares are subscribed or purchased under Section 275 of the SFA by a relevant person which is:</w:t>
      </w:r>
    </w:p>
    <w:p>
      <w:pPr>
        <w:spacing w:after="0" w:line="225" w:lineRule="exact"/>
        <w:rPr>
          <w:sz w:val="20"/>
          <w:szCs w:val="20"/>
          <w:color w:val="auto"/>
        </w:rPr>
      </w:pPr>
    </w:p>
    <w:p>
      <w:pPr>
        <w:ind w:left="1840" w:right="80" w:hanging="617"/>
        <w:spacing w:after="0" w:line="276" w:lineRule="auto"/>
        <w:tabs>
          <w:tab w:leader="none" w:pos="18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ind w:left="1840" w:right="80" w:hanging="617"/>
        <w:spacing w:after="0" w:line="260" w:lineRule="auto"/>
        <w:tabs>
          <w:tab w:leader="none" w:pos="1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8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ordinary shares pursuant to an offer made under Section 275 of the SFA except:</w:t>
      </w:r>
    </w:p>
    <w:p>
      <w:pPr>
        <w:spacing w:after="0" w:line="176" w:lineRule="exact"/>
        <w:rPr>
          <w:sz w:val="20"/>
          <w:szCs w:val="20"/>
          <w:color w:val="auto"/>
        </w:rPr>
      </w:pPr>
    </w:p>
    <w:p>
      <w:pPr>
        <w:ind w:left="1840" w:right="80" w:hanging="617"/>
        <w:spacing w:after="0" w:line="261" w:lineRule="auto"/>
        <w:tabs>
          <w:tab w:leader="none" w:pos="1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ind w:left="1840" w:hanging="617"/>
        <w:spacing w:after="0"/>
        <w:tabs>
          <w:tab w:leader="none" w:pos="1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9" w:lineRule="exact"/>
        <w:rPr>
          <w:rFonts w:ascii="Times New Roman" w:cs="Times New Roman" w:eastAsia="Times New Roman" w:hAnsi="Times New Roman"/>
          <w:sz w:val="18"/>
          <w:szCs w:val="18"/>
          <w:color w:val="auto"/>
        </w:rPr>
      </w:pPr>
    </w:p>
    <w:p>
      <w:pPr>
        <w:ind w:left="1840" w:hanging="617"/>
        <w:spacing w:after="0"/>
        <w:tabs>
          <w:tab w:leader="none" w:pos="1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9" w:lineRule="exact"/>
        <w:rPr>
          <w:rFonts w:ascii="Times New Roman" w:cs="Times New Roman" w:eastAsia="Times New Roman" w:hAnsi="Times New Roman"/>
          <w:sz w:val="18"/>
          <w:szCs w:val="18"/>
          <w:color w:val="auto"/>
        </w:rPr>
      </w:pPr>
    </w:p>
    <w:p>
      <w:pPr>
        <w:ind w:left="1840" w:hanging="617"/>
        <w:spacing w:after="0"/>
        <w:tabs>
          <w:tab w:leader="none" w:pos="1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ordinary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ind w:left="660"/>
        <w:spacing w:after="0"/>
        <w:tabs>
          <w:tab w:leader="none" w:pos="9780" w:val="left"/>
        </w:tabs>
        <w:rPr>
          <w:sz w:val="20"/>
          <w:szCs w:val="20"/>
          <w:color w:val="auto"/>
        </w:rPr>
      </w:pPr>
      <w:r>
        <w:rPr>
          <w:rFonts w:ascii="Times New Roman" w:cs="Times New Roman" w:eastAsia="Times New Roman" w:hAnsi="Times New Roman"/>
          <w:sz w:val="18"/>
          <w:szCs w:val="18"/>
          <w:color w:val="auto"/>
        </w:rPr>
        <w:t>On June 15, 2026, certain investors in the European Economic Area indicated an intent to subscribe or purchase up to $</w:t>
      </w:r>
      <w:r>
        <w:rPr>
          <w:sz w:val="20"/>
          <w:szCs w:val="20"/>
          <w:color w:val="auto"/>
        </w:rPr>
        <w:tab/>
      </w:r>
      <w:r>
        <w:rPr>
          <w:rFonts w:ascii="Times New Roman" w:cs="Times New Roman" w:eastAsia="Times New Roman" w:hAnsi="Times New Roman"/>
          <w:sz w:val="17"/>
          <w:szCs w:val="17"/>
          <w:color w:val="auto"/>
        </w:rPr>
        <w:t>million of our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ordinary shares in the concurrent private placement. The shares will be offered solely to professional clients or eligible counterparties falling within article 1(4) of Regulation (EU) 2017/1129, at a price per share equal to the public offering price of our ordinary shares in this offering. Consummation of the concurrent private placement is conditioned on the closing of this offering and the satisfaction of certain other customary conditions, and is expected to occur within seven business days following the closing of this offering. The consummation of this offering is not contingent on the consummation of the concurrent private placement.</w:t>
      </w:r>
    </w:p>
    <w:p>
      <w:pPr>
        <w:spacing w:after="0" w:line="18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Pursuant to one of the subscription/purchase agreements, we expected to grant registration rights to one investor in the concurrent private placement (the “Registration Rights Investor”). [Specifically, we expect to be obligated to file a resale registration statement on Form F-3 (or such other available form if Form F-3 is unavailable) with the SEC upon demand by the Registration Rights Investor to register the resale of the shares that it purchases in the concurrent private placement. All expenses in connection with the registration are to be borne by us.</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above or otherwise described in our Annual Report on Form 20-F for the fiscal year ended December 31, 2025 and in our Reports on Form 6-K incorporated by reference into this prospectus supplement and the accompanying prospectus, no reportable material changes have occurred since December 31,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CIVIL LIABILITIES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SECURITIES LAWS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Alvotech is incorporated in Luxembourg and conducts a majority of its operations through its subsidiary, Alvotech hf., an Icelandic legal entity. In addition, some of the members of our board of directors and officers reside outside the United States and a substantial portion of our assets are located in Iceland and elsewhere outside the U.S. Investors may not be able to effect service of process within the United States upon us or these persons or enforce judgments obtained against us or these persons in U.S. courts, including judgments in actions predicated upon the civil liability provisions of the U.S. federal securities laws. Likewise, it also may be difficult for an investor to enforce in U.S. courts judgments obtained against us or these persons in courts located in jurisdictions outside the United States, including judgments predicated upon the civil liability provisions of the U.S. federal securities laws. Awards of punitive damages in actions brought in the United States or elsewhere are generally not enforceable in Luxembourg and Iceland.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there is no treaty in force on the reciprocal recognition and enforcement of judgments in civil and commercial matters between the United States and Luxembourg other than arbitral awards rendered in civil and commercial matters, courts in Luxembourg will not automatically recognize and enforce a final judgment rendered by a U.S. court. A valid judgment obtained from a court of competent jurisdiction in the United States may be entered and enforced through a court of competent jurisdiction in Luxembourg, subject to the applicable enforcement procedures (exequatur) as set out in the relevant provisions of the Luxembourg New Civil Procedure Code and in Luxembourg case law. Pursuant to Luxembourg case law, the granting of exequatur is subject to the following requirements:</w:t>
      </w:r>
    </w:p>
    <w:p>
      <w:pPr>
        <w:spacing w:after="0" w:line="185" w:lineRule="exact"/>
        <w:rPr>
          <w:sz w:val="20"/>
          <w:szCs w:val="20"/>
          <w:color w:val="auto"/>
        </w:rPr>
      </w:pPr>
    </w:p>
    <w:p>
      <w:pPr>
        <w:ind w:left="660" w:hanging="328"/>
        <w:spacing w:after="0" w:line="283" w:lineRule="auto"/>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is final and enforceable (</w:t>
      </w:r>
      <w:r>
        <w:rPr>
          <w:rFonts w:ascii="Times New Roman" w:cs="Times New Roman" w:eastAsia="Times New Roman" w:hAnsi="Times New Roman"/>
          <w:sz w:val="18"/>
          <w:szCs w:val="18"/>
          <w:i w:val="1"/>
          <w:iCs w:val="1"/>
          <w:color w:val="auto"/>
        </w:rPr>
        <w:t>exécutoire</w:t>
      </w:r>
      <w:r>
        <w:rPr>
          <w:rFonts w:ascii="Times New Roman" w:cs="Times New Roman" w:eastAsia="Times New Roman" w:hAnsi="Times New Roman"/>
          <w:sz w:val="18"/>
          <w:szCs w:val="18"/>
          <w:color w:val="auto"/>
        </w:rPr>
        <w:t>) in the United States and has not been fully enforced in the United States and/or in any other jurisdiction;</w:t>
      </w:r>
    </w:p>
    <w:p>
      <w:pPr>
        <w:spacing w:after="0" w:line="158"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must not infringe the exclusive jurisdiction of the Luxembourg courts and there must be a real link (</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caractérisé</w:t>
      </w:r>
      <w:r>
        <w:rPr>
          <w:rFonts w:ascii="Times New Roman" w:cs="Times New Roman" w:eastAsia="Times New Roman" w:hAnsi="Times New Roman"/>
          <w:sz w:val="18"/>
          <w:szCs w:val="18"/>
          <w:color w:val="auto"/>
        </w:rPr>
        <w:t>) between the case and the U.S. court (according to some first instance decisions rendered in Luxembourg, which have not yet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confirmed by the Court of Appeal);</w:t>
      </w:r>
    </w:p>
    <w:p>
      <w:pPr>
        <w:spacing w:after="0" w:line="176"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had full jurisdiction over the subject matter leading to the judgment (that is, its jurisdiction was in compliance both with Luxembourg private international law rules and with the applicable domestic U.S. federal or state jurisdictional rules);</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applied to the dispute the substantive law which is designated by the Luxembourg conflict of laws rules or, at least, such court’s order must not contravene the principles underlying those rules (based on recent case law and legal doctrine, it is not certain that this condition would still be required for an exequatur to be granted by a Luxembourg court);</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was granted following proceedings where the counterparty had the opportunity to appear and, if it appeared, to present a defense, and the decision of the foreign court must not have been obtained by fraud, but in compliance with the rights of the defendant;</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acted in accordance with its own procedural laws;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does not contradict an already issued judgment of a Luxembourg court, and</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2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decisions and the considerations of the U.S. court must not be contrary to Luxembourg international public policy rules (as such term is interpreted under the laws of Luxembourg) or have been given in proceedings of a tax or criminal nature or rendered subsequent to an evasion of Luxembourg law (</w:t>
      </w:r>
      <w:r>
        <w:rPr>
          <w:rFonts w:ascii="Times New Roman" w:cs="Times New Roman" w:eastAsia="Times New Roman" w:hAnsi="Times New Roman"/>
          <w:sz w:val="18"/>
          <w:szCs w:val="18"/>
          <w:i w:val="1"/>
          <w:iCs w:val="1"/>
          <w:color w:val="auto"/>
        </w:rPr>
        <w:t>fraude à la loi</w:t>
      </w:r>
      <w:r>
        <w:rPr>
          <w:rFonts w:ascii="Times New Roman" w:cs="Times New Roman" w:eastAsia="Times New Roman" w:hAnsi="Times New Roman"/>
          <w:sz w:val="18"/>
          <w:szCs w:val="18"/>
          <w:color w:val="auto"/>
        </w:rPr>
        <w:t>). Awards of damages made under civil liabilities provisions of the U.S. federal securities laws, or other</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laws, which are classified by Luxembourg courts as being of a penal or punitive nature (for example, fines or punitive damages), might not be recognized by Luxembourg courts. Ordinarily, an award of monetary damages would not be considered as a penalty, but if the monetary damages include punitive damages, such punitive damages may be considered a penalty and therefore not enforceable in Luxembourg.</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Similarly, as Alvotech hf., a subsidiary of Alvotech, has significant assets in Iceland, investors may seek to enforce judgments obtained in the United States against Alvotech in Iceland. As there is no treaty in force on the reciprocal recognition and enforcement of judgments in civil and commercial matters between the United States and Iceland other than arbitral awards entered in civil and commercial matters, courts in Iceland will not automatically recognize and enforce a final judgment rendered by a U.S. court. Based on recent Icelandic case law, a valid judgment obtained from a court of competent jurisdiction in the United States will not be directly recognized and enforceable in Iceland. Instead, the judgment creditor would need to issue fresh legal proceedings against the judgment debtor in Iceland in which the U.S. judgment would serve as evidence, in addition to other evidence and legal arguments regarding the merits of the case, which will be adjudicated by the Icelandic courts.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 original action is brought in Luxembourg or Iceland, without prejudice to specific conflict of law rules, Luxembourg courts or Icelandic courts may refuse to apply the designated law (i) if the choice of such foreign law was not made bona fide or (ii) if the foreign law was not pleaded and proved or</w:t>
      </w:r>
    </w:p>
    <w:p>
      <w:pPr>
        <w:jc w:val="both"/>
        <w:ind w:firstLine="8"/>
        <w:spacing w:after="0" w:line="255" w:lineRule="auto"/>
        <w:tabs>
          <w:tab w:leader="none" w:pos="3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pleaded and proved, such foreign law is contrary to mandatory Luxembourg or Icelandic laws or incompatible with Luxembourg or Icelandic public policy rules. In an action brought in Luxembourg or Iceland on the basis of U.S. federal or state securities laws, Luxembourg courts or Icelandic courts may not have the requisite power to grant the remedies sought. Also, an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may be refused by a Luxembourg court in respect of punitive damages.</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practice, Luxembourg courts tend not to review the merits of a foreign judgment, although there is no clear statutory prohibition of such review. A contractual provision allowing the service of process against a party to a service agent could be overridden by Luxembourg or Icelandic statutory provisions allowing the valid serving of process against a party in accordance with applicable laws at the domicile of the party. Further, in the event any proceedings are brought in a Luxembourg court in respect of a monetary obligation payable in a currency other than the Euro, a Luxembourg court would have the power to give judgment as an order to pay the obligation in a currency other than the Euro. However, enforcement of the judgment against any party in Luxembourg would be available only in Euros and, for such purposes, all claims or debts would be converted into Euros. Similarly, in the event any proceedings are brought in an Icelandic court in respect of a monetary obligation payable in a currency other than the Icelandic Krona, an Icelandic court would have the power to give judgment as an order to pay the obligation in the Icelandic Krona.</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actions brought in a Luxembourg court against Alvotech, the members of our board of directors, our officers, or the experts named herein to enforce liabilities based on U.S. federal securities laws may be subject to certain restrictions. In particular, Luxembourg courts generally do not award punitive damages. Litigation in Luxembourg also is subject to rules of procedure that differ from the U.S. rules, including, with respect to the taking and admissibility of evidence, the conduct of the proceedings and the allocation of costs. Proceedings in Luxembourg would have to be conducted in French or German, and all documents submitted to the court would, in principle, have to be translated into French or German. For these reasons, it may be difficult for a U.S. investor to bring an original action in a Luxembourg court predicated upon the civil liability provisions of the U.S. federal securities laws against Alvotech, the members of our board of directors, our officers, or the experts named herein. In addition, even if a judgment against Alvotech, the non-U.S. members of our board of directors, our officers, or the experts named in this Annual Report on Form 20-F based on the civil liability provisions of the U.S. federal securities laws is obtained, a U.S. investor may not be able to enforce it in United States or Luxembourg courts.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of our directors and officers have entered into, or will enter into, indemnification agreements with Alvotech. Under such agreements, the directors and officers will be entitled to indemnification from Alvotech to the fullest extent permitted by Luxemburg law against liability and expenses reasonably incurred or paid by him or her in connection with any claim, action, suit, or proceeding in which he or she would be involved by virtue of his or her being or having been a director or officer and against amounts paid or incurred by him or her in the settlement thereof. Luxembourg law permits us to keep directors indemnified against any expenses, judgments, fines and amounts paid in connection with liability of a director towards Alvotech or a third-party for management errors i.e., for wrongful acts committed during the execution of the mandate (</w:t>
      </w:r>
      <w:r>
        <w:rPr>
          <w:rFonts w:ascii="Times New Roman" w:cs="Times New Roman" w:eastAsia="Times New Roman" w:hAnsi="Times New Roman"/>
          <w:sz w:val="18"/>
          <w:szCs w:val="18"/>
          <w:i w:val="1"/>
          <w:iCs w:val="1"/>
          <w:color w:val="auto"/>
        </w:rPr>
        <w:t>mandat</w:t>
      </w:r>
      <w:r>
        <w:rPr>
          <w:rFonts w:ascii="Times New Roman" w:cs="Times New Roman" w:eastAsia="Times New Roman" w:hAnsi="Times New Roman"/>
          <w:sz w:val="18"/>
          <w:szCs w:val="18"/>
          <w:color w:val="auto"/>
        </w:rPr>
        <w:t>) granted to the director by Alvotech, except in connection with criminal offenses, gross negligence or fraud. The rights to and obligations of indemnification among or between</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8"/>
          <w:szCs w:val="18"/>
          <w:color w:val="auto"/>
        </w:rPr>
        <w:t>Alvotech and any of our current or former directors and officers are generally governed by the laws of Luxembourg and subject to the jurisdiction of the Luxembourg courts, unless such rights or obligations do not relate to or arise out of such persons’ capacities listed above. Although there is doubt as to whether U.S. courts would enforce this indemnification provision in an action brought in the United States under U.S. federal or state securities laws, this provision could make it more difficult to obtain judgments outside Luxembourg or from non-Luxembourg jurisdictions that would apply Luxembourg law against our assets in Luxembourg.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agent for service of process in the United States is Alvotech USA Inc., 1602 Village Market Blvd., Suite 280, Leesburg, Virginia 20175.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legal matters of U.S. securities law relating to this offering will be passed upon for us by Cooley LLP, Boston, Massachusetts. The validity of the ordinary shares and certain other legal matters as to Luxembourg law will be passed upon for us by Arendt &amp; Medernach, Luxembourg counsel to Alvotech. Certain legal matters in connection with this offering will be passed upon for the underwriters by Paul Hastings LLP, New York, New York, with respect to U.S. federal law, and NautaDutilh, with respect to Luxembourg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of Alvotech as of December 31, 2025 and 2024, and for each of the three years in the period ended December 31, 2025, incorporated by reference in this prospectus supplement, and the effectiveness of Alvotech’s internal control over financial reporting have been audited by Deloitte ehf., an independent registered public accounting firm, as stated in their reports which express an unqualified opinion on the financial statements and an adverse opinion on the effectiveness of Alvotech’s internal control over financial reporting. Such financial statements are incorporated by reference in reliance upon the reports of such firm given their authority as experts in accounting and auditing.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offices of Deloitte ehf. are located at Dalvegur 30, 201 Kópavogi, Iceland.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F-3 we filed with the SEC. This prospectus supplement and the accompanying prospectus do not contain all of the information set forth in the registration statement or the exhibits and schedules filed therewith. For further information with respect to us and our securities offered hereby, reference is made to the registration statement and the exhibits and schedules filed therewith. Statements contained in this prospectus supplement and the accompanying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www.sec.gov.</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maintain a website at www.alvotech.com. We will make available on our website,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 supplement.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we file with it, which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part of this prospectus supplement and information we file later with the SEC will automatically update and supersede this information.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documents we are incorporating by reference as of their respective dates of filing are:</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1">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March 31, 2026;</w:t>
      </w:r>
    </w:p>
    <w:p>
      <w:pPr>
        <w:spacing w:after="0" w:line="224"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in our Registration Statement on </w:t>
      </w:r>
      <w:hyperlink r:id="rId8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June 13, 2022, including any amendments or reports filed for the purpose of updating such description, including </w:t>
      </w:r>
      <w:hyperlink r:id="rId83">
        <w:r>
          <w:rPr>
            <w:rFonts w:ascii="Times New Roman" w:cs="Times New Roman" w:eastAsia="Times New Roman" w:hAnsi="Times New Roman"/>
            <w:sz w:val="18"/>
            <w:szCs w:val="18"/>
            <w:u w:val="single" w:color="auto"/>
            <w:color w:val="0000EE"/>
          </w:rPr>
          <w:t>Exhibit 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20-F for the fiscal year ended December 31, 2025, filed with the SEC on March 31, 2026; and</w:t>
      </w:r>
    </w:p>
    <w:p>
      <w:pPr>
        <w:spacing w:after="0" w:line="177"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Form 6-K dated </w:t>
      </w:r>
      <w:hyperlink r:id="rId84">
        <w:r>
          <w:rPr>
            <w:rFonts w:ascii="Times New Roman" w:cs="Times New Roman" w:eastAsia="Times New Roman" w:hAnsi="Times New Roman"/>
            <w:sz w:val="18"/>
            <w:szCs w:val="18"/>
            <w:u w:val="single" w:color="auto"/>
            <w:color w:val="0000EE"/>
          </w:rPr>
          <w:t>April 30, 2026</w:t>
        </w:r>
      </w:hyperlink>
      <w:r>
        <w:rPr>
          <w:rFonts w:ascii="Times New Roman" w:cs="Times New Roman" w:eastAsia="Times New Roman" w:hAnsi="Times New Roman"/>
          <w:sz w:val="18"/>
          <w:szCs w:val="18"/>
          <w:color w:val="auto"/>
        </w:rPr>
        <w:t xml:space="preserve">, excluding exhibit 99.1 thereto; our report on Form 6-K dated </w:t>
      </w:r>
      <w:hyperlink r:id="rId85">
        <w:r>
          <w:rPr>
            <w:rFonts w:ascii="Times New Roman" w:cs="Times New Roman" w:eastAsia="Times New Roman" w:hAnsi="Times New Roman"/>
            <w:sz w:val="18"/>
            <w:szCs w:val="18"/>
            <w:u w:val="single" w:color="auto"/>
            <w:color w:val="0000EE"/>
          </w:rPr>
          <w:t>May 11, 2026</w:t>
        </w:r>
      </w:hyperlink>
      <w:r>
        <w:rPr>
          <w:rFonts w:ascii="Times New Roman" w:cs="Times New Roman" w:eastAsia="Times New Roman" w:hAnsi="Times New Roman"/>
          <w:sz w:val="18"/>
          <w:szCs w:val="18"/>
          <w:color w:val="auto"/>
        </w:rPr>
        <w:t xml:space="preserve">, excluding exhibit 99.1 thereto; our report on Form 6-K dated </w:t>
      </w:r>
      <w:hyperlink r:id="rId86">
        <w:r>
          <w:rPr>
            <w:rFonts w:ascii="Times New Roman" w:cs="Times New Roman" w:eastAsia="Times New Roman" w:hAnsi="Times New Roman"/>
            <w:sz w:val="18"/>
            <w:szCs w:val="18"/>
            <w:u w:val="single" w:color="auto"/>
            <w:color w:val="0000EE"/>
          </w:rPr>
          <w:t>June 4, 2026</w:t>
        </w:r>
      </w:hyperlink>
      <w:r>
        <w:rPr>
          <w:rFonts w:ascii="Times New Roman" w:cs="Times New Roman" w:eastAsia="Times New Roman" w:hAnsi="Times New Roman"/>
          <w:sz w:val="18"/>
          <w:szCs w:val="18"/>
          <w:color w:val="auto"/>
        </w:rPr>
        <w:t xml:space="preserve">, excluding exhibits 99.1 and 99.2 thereto; our report on Form 6-K dated </w:t>
      </w:r>
      <w:hyperlink r:id="rId87">
        <w:r>
          <w:rPr>
            <w:rFonts w:ascii="Times New Roman" w:cs="Times New Roman" w:eastAsia="Times New Roman" w:hAnsi="Times New Roman"/>
            <w:sz w:val="18"/>
            <w:szCs w:val="18"/>
            <w:u w:val="single" w:color="auto"/>
            <w:color w:val="0000EE"/>
          </w:rPr>
          <w:t>June 8, 2026</w:t>
        </w:r>
      </w:hyperlink>
      <w:r>
        <w:rPr>
          <w:rFonts w:ascii="Times New Roman" w:cs="Times New Roman" w:eastAsia="Times New Roman" w:hAnsi="Times New Roman"/>
          <w:sz w:val="18"/>
          <w:szCs w:val="18"/>
          <w:color w:val="auto"/>
        </w:rPr>
        <w:t xml:space="preserve"> (excluding exhibit 99.1 and exhibit 99.2 and including exhibit 99.3 thereto); and our report on </w:t>
      </w:r>
      <w:hyperlink r:id="rId88">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dated June 15, 2026.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2139315</wp:posOffset>
            </wp:positionH>
            <wp:positionV relativeFrom="paragraph">
              <wp:posOffset>-1246505</wp:posOffset>
            </wp:positionV>
            <wp:extent cx="361759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3617595" cy="128905"/>
                    </a:xfrm>
                    <a:prstGeom prst="rect">
                      <a:avLst/>
                    </a:prstGeom>
                    <a:noFill/>
                  </pic:spPr>
                </pic:pic>
              </a:graphicData>
            </a:graphic>
          </wp:anchor>
        </w:drawing>
      </w:r>
    </w:p>
    <w:p>
      <w:pPr>
        <w:spacing w:after="0" w:line="157" w:lineRule="exact"/>
        <w:rPr>
          <w:rFonts w:ascii="Times New Roman" w:cs="Times New Roman" w:eastAsia="Times New Roman" w:hAnsi="Times New Roman"/>
          <w:sz w:val="18"/>
          <w:szCs w:val="18"/>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subsequent annual reports on Form 20-F and all subsequent reports on Form 6-K filed by us, that are identified by us as being incorporated by reference into the registration statement of which this prospectus supplement forms a part, shall be deemed to be incorporated by reference into this prospectus supplement and deemed to be a part hereof after the date of this prospectus supplement but before the termination of the offering under this prospectus supplement. Unless expressly incorporated by reference, nothing in this prospectus supplement shall be deemed to incorporate by reference information furnished to, but not filed with, the SEC.</w:t>
      </w:r>
    </w:p>
    <w:p>
      <w:pPr>
        <w:spacing w:after="0" w:line="183"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all purposes to the extent that a statement contained in this prospectus supplement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 supplement.</w:t>
      </w:r>
    </w:p>
    <w:p>
      <w:pPr>
        <w:spacing w:after="0" w:line="180"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supplement on the written or oral request of that person made to:</w:t>
      </w:r>
    </w:p>
    <w:p>
      <w:pPr>
        <w:spacing w:after="0" w:line="18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Alvotech</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 Rue de Bitbourg,</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L-1273 Luxembourg,</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Grand Duchy of Luxembourg</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+354 422 4500</w:t>
      </w:r>
    </w:p>
    <w:p>
      <w:pPr>
        <w:spacing w:after="0" w:line="205" w:lineRule="exact"/>
        <w:rPr>
          <w:rFonts w:ascii="Times New Roman" w:cs="Times New Roman" w:eastAsia="Times New Roman" w:hAnsi="Times New Roman"/>
          <w:sz w:val="18"/>
          <w:szCs w:val="18"/>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addition, copies of the documents incorporated herein by reference may be accessed at our website at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The reference to our website address does not constitute incorporation by reference of the information contained on or accessible through our website, and you should not consider the contents of our website in making an investment decision with respect to our securities.</w:t>
      </w:r>
    </w:p>
    <w:p>
      <w:pPr>
        <w:spacing w:after="0" w:line="135"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firstLine="324"/>
        <w:spacing w:after="0" w:line="282"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We have not authorized anyone to provide you with information different from that contained in this prospectus supplement or incorporated by reference in this prospectus supplement.</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156845</wp:posOffset>
            </wp:positionV>
            <wp:extent cx="1499870"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149987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$100,000,000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Ordinary Shares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Rights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1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our ordinary shares, debt securities, warrants, rights and units comprising any combination of these securities having an aggregate offering price up to $100,000,000. These securities may be offered individually or in any combination.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time we sell securities pursuant to this prospectus, we will provide in a supplement to this prospectus the price and any other material terms of any such offering and the securities offered. Any prospectus supplement may also add, update or change information contained in the prospectus. You should read this prospectus and any applicable prospectus supplement, as well as the documents incorporated by reference or deemed incorporated by reference into this prospectus, carefully before you invest in any securities.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securities may be sold directly by us to you, through agents designated from time to time or to or through underwriters or dealers. For additional information on the methods of sale, you should refer to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and in the applicable prospectus supplement. If any underwriters or agents are involved in the sale of our securities with respect to which this prospectus is being delivered, the names of such underwriters or agents and any applicable fees or commissions and over-allotment options will be set forth in a prospectus supplement. The price to the public of such securities and the net proceeds that we expect to receive from such sale will also be set forth in a prospectus supplement.</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(“Nasdaq”) and the Nasdaq Main Market in Iceland (“Nasdaq Iceland Main Market”) under the symbol “ALVO.” On October 19, 2023, the closing price of our ordinary shares on Nasdaq was $8.85. The applicable prospectus supplement will contain information, where applicable, as to any other listing, if any, on the Nasdaq or any securities market or other securities exchange of the securities covered by the prospectus supplement. There is currently no market through which debt securities, warrants, rights or units may be sold and purchasers may not be able to resell debt securities, warrants, rights or units purchased under this prospectus. This may affect the pricing of any debt securities, warrants, rights or units in the secondary market, the transparency and availability of trading prices, the liquidity of the debt securities, warrants, rights or units and the extent of issuer regulation. Prospective purchasers of our securities are urged to obtain current information as to the market prices of our securities, where applicable.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“foreign private issuer” under applicable Securities and Exchange Commission (the “SEC”) rules and an “emerging growth company” as that term is defined in the Jumpstart Our Business Startups Act of 2012 (the “JOBS Act”) and are eligible for reduced public company disclosure requirements.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securities unless it is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right="10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BEGINNING ON PAGE 5 OF THIS PROSPECTUS AND ANY RISK FACTORS DESCRIBED IN ANY APPLICABLE PROSPECTUS SUPPLEMENT AND IN OUR SEC FILINGS THAT ARE INCORPORATED BY REFERENCE IN THIS PROSPECTUS.</w:t>
      </w:r>
    </w:p>
    <w:p>
      <w:pPr>
        <w:spacing w:after="0" w:line="17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Owning our securities may subject you to tax consequences both in Luxembourg and in the United States. This prospectus and any applicable prospectus supplement may not describe these tax consequences fully. You should read the tax discussion in any applicable prospectus supplement. In addition, your ability to enforce civil liabilities under U.S. federal securities laws may be affected adversely by the fact that we are incorporated under the laws of the Grand Duchy of Luxembourg, many of the members of our board of directors and executive management, and experts named in this prospectus, are residents of jurisdictions outside of the United States, and a substantial portion of our assets and the assets of such persons are located outside the United States. See “</w:t>
      </w:r>
      <w:r>
        <w:rPr>
          <w:rFonts w:ascii="Times New Roman" w:cs="Times New Roman" w:eastAsia="Times New Roman" w:hAnsi="Times New Roman"/>
          <w:sz w:val="18"/>
          <w:szCs w:val="18"/>
          <w:b w:val="1"/>
          <w:bCs w:val="1"/>
          <w:i w:val="1"/>
          <w:iCs w:val="1"/>
          <w:color w:val="auto"/>
        </w:rPr>
        <w:t>Service of Process and Enforcement of Civil Liabilities Under U.S. Securities Laws.</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or other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4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2"/>
        </w:trPr>
        <w:tc>
          <w:tcPr>
            <w:tcW w:w="22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5960" w:type="dxa"/>
            <w:vAlign w:val="bottom"/>
            <w:gridSpan w:val="10"/>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412"/>
        </w:trPr>
        <w:tc>
          <w:tcPr>
            <w:tcW w:w="21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PROSPECTUS SUMMARY</w:t>
            </w:r>
          </w:p>
        </w:tc>
        <w:tc>
          <w:tcPr>
            <w:tcW w:w="6100" w:type="dxa"/>
            <w:vAlign w:val="bottom"/>
            <w:gridSpan w:val="12"/>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1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940" w:type="dxa"/>
            <w:vAlign w:val="bottom"/>
            <w:gridSpan w:val="17"/>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58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400" w:type="dxa"/>
            <w:vAlign w:val="bottom"/>
            <w:gridSpan w:val="2"/>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OFFER AND LISTING DETAILS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25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5680" w:type="dxa"/>
            <w:vAlign w:val="bottom"/>
            <w:gridSpan w:val="8"/>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SHARE CAPITAL AND ARTICLES OF ASSOCIATION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304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2660" w:type="dxa"/>
            <w:vAlign w:val="bottom"/>
            <w:tcBorders>
              <w:top w:val="single" w:sz="8" w:color="0000EE"/>
            </w:tcBorders>
            <w:gridSpan w:val="4"/>
          </w:tcPr>
          <w:p>
            <w:pPr>
              <w:spacing w:after="0"/>
              <w:rPr>
                <w:sz w:val="24"/>
                <w:szCs w:val="24"/>
                <w:color w:val="auto"/>
              </w:rPr>
            </w:pPr>
          </w:p>
        </w:tc>
        <w:tc>
          <w:tcPr>
            <w:tcW w:w="2500" w:type="dxa"/>
            <w:vAlign w:val="bottom"/>
            <w:gridSpan w:val="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DESCRIPTION OF WARRANTS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248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DESCRIPTION OF RIGHTS</w:t>
            </w:r>
          </w:p>
        </w:tc>
        <w:tc>
          <w:tcPr>
            <w:tcW w:w="5720" w:type="dxa"/>
            <w:vAlign w:val="bottom"/>
            <w:gridSpan w:val="9"/>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2"/>
        </w:trPr>
        <w:tc>
          <w:tcPr>
            <w:tcW w:w="21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DESCRIPTION OF UNITS</w:t>
            </w:r>
          </w:p>
        </w:tc>
        <w:tc>
          <w:tcPr>
            <w:tcW w:w="6060" w:type="dxa"/>
            <w:vAlign w:val="bottom"/>
            <w:gridSpan w:val="11"/>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2"/>
        </w:trPr>
        <w:tc>
          <w:tcPr>
            <w:tcW w:w="9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TAXATION</w:t>
            </w:r>
          </w:p>
        </w:tc>
        <w:tc>
          <w:tcPr>
            <w:tcW w:w="1100" w:type="dxa"/>
            <w:vAlign w:val="bottom"/>
            <w:tcBorders>
              <w:top w:val="single" w:sz="8" w:color="0000EE"/>
            </w:tcBorders>
            <w:gridSpan w:val="4"/>
          </w:tcPr>
          <w:p>
            <w:pPr>
              <w:spacing w:after="0"/>
              <w:rPr>
                <w:sz w:val="24"/>
                <w:szCs w:val="24"/>
                <w:color w:val="auto"/>
              </w:rPr>
            </w:pPr>
          </w:p>
        </w:tc>
        <w:tc>
          <w:tcPr>
            <w:tcW w:w="6180" w:type="dxa"/>
            <w:vAlign w:val="bottom"/>
            <w:gridSpan w:val="14"/>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2"/>
        </w:trPr>
        <w:tc>
          <w:tcPr>
            <w:tcW w:w="2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PLAN OF DISTRIBUTION</w:t>
            </w:r>
          </w:p>
        </w:tc>
        <w:tc>
          <w:tcPr>
            <w:tcW w:w="6140" w:type="dxa"/>
            <w:vAlign w:val="bottom"/>
            <w:gridSpan w:val="13"/>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412"/>
        </w:trPr>
        <w:tc>
          <w:tcPr>
            <w:tcW w:w="9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EXPENSES</w:t>
            </w:r>
          </w:p>
        </w:tc>
        <w:tc>
          <w:tcPr>
            <w:tcW w:w="7300" w:type="dxa"/>
            <w:vAlign w:val="bottom"/>
            <w:gridSpan w:val="19"/>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12"/>
        </w:trPr>
        <w:tc>
          <w:tcPr>
            <w:tcW w:w="82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SERVICE OF PROCESS AND ENFORCEMENT OF CIVIL LIABILITIES UNDER U.S. SECURITIES LAWS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7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4"/>
          </w:tcPr>
          <w:p>
            <w:pPr>
              <w:spacing w:after="0"/>
              <w:rPr>
                <w:sz w:val="24"/>
                <w:szCs w:val="24"/>
                <w:color w:val="auto"/>
              </w:rPr>
            </w:pPr>
          </w:p>
        </w:tc>
        <w:tc>
          <w:tcPr>
            <w:tcW w:w="6740" w:type="dxa"/>
            <w:vAlign w:val="bottom"/>
            <w:gridSpan w:val="16"/>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382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INFORMATION INCORPORATED BY REFERENCE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6"/>
        </w:trPr>
        <w:tc>
          <w:tcPr>
            <w:tcW w:w="7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7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3040" w:type="dxa"/>
            <w:vAlign w:val="bottom"/>
          </w:tcPr>
          <w:p>
            <w:pPr>
              <w:spacing w:after="0"/>
              <w:rPr>
                <w:sz w:val="20"/>
                <w:szCs w:val="20"/>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 using a “shelf” registration process. Under this shelf registration process, we may from time to time sell ordinary shares, debt securities, warrants, rights or units comprising any combination of these securities, in one or more offerings up to a total dollar amount of $100,000,000. We have provided to you in this prospectus a general description of the securities we may offer.</w:t>
      </w:r>
    </w:p>
    <w:p>
      <w:pPr>
        <w:spacing w:after="0" w:line="15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Each time we sell securities, we will, to the extent required by law, provide a prospectus supplement that will contain specific information about the terms of the offering. We may also add, update or change in any accompanying prospectus supplement or any free writing prospectus we may authorize to be delivered to you any of the information contained in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 this prospectus or any prospectus supplement – the statement in the document having the later date modifies or supersedes the earlier statement. This prospectus, together with any accompanying prospectus supplement and any free writing prospectus we may authorize to be delivered to you, includes all material information relating to the offering of our securities.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permitted by the rules and regulations of the SEC, the registration statement, of which this prospectus forms a part, includes additional information not contained in this prospectus. You may read the registration statement and the other reports we file with the SEC at the SEC’s web site or at the SEC’s offices described below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this prospectus, unless otherwise stated or the context otherwise requires, references to “Alvotech,” “the Company,” “we,” “us,” “our” and similar references refer to Alvotech and our wholly owned subsidiary, Alvotech hf.</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any accompanying prospectus supplement or any “free writing prospectus” we may authorize to be delivered to you. Neither we, nor any agent, underwriter or dealer has authorized anyone to provide you with different information or to make any representation other than those contained or incorporated by reference in this prospectus, any applicable prospectus supplement or any related free writing prospectus prepared by or on behalf of us or to which we have referred you. If anyone provides you with different or inconsistent information, you should not rely on it. You should assume that the information appearing in this prospectus, any prospectus supplement and the documents incorporated by reference herein and therein are accurate only as of their respective dates. Our business, financial condition, results of operations and prospects may have changed since those dates.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Neither this prospectus nor any accompanying prospectus supplement shall constitute an offer or solicitation by anyone in any jurisdiction in which such offer or solicitation is not authorized or in which the person making such offer or solicitation is not qualified to do so or to anyone to whom it is unlawful to make such offer or solicitation.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266700</wp:posOffset>
            </wp:positionV>
            <wp:extent cx="7136130" cy="6562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7136130" cy="6562090"/>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material information included or incorporated by reference in this prospectus. This summary does not contain all of the information you should consider before investing in our securities. Before making an investment decision, you should read this entire prospectus carefully, especially “Risk Factors” and the financial statements and related notes thereto, together with the additional information about us described in the sections entitled “Where You Can Find More Information” and “Information Incorporated by Reference,” and the documents incorporated by reference in this prospectus. Some of the statements in this prospectus constitute forward-looking statements that involve risks and uncertainties. See “Cautionary Note Regarding Forward-Looking Statements” for more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vertically integrated biotech company focused solely on the development and manufacture of biosimilar medicines for patients worldwide. Our purpose is to improve the health and quality of life of patients around the world by improving access to proven treatments for various diseases. Since our inception, we have built our company with key characteristics we believe will help us capture the substantial global market opportunity in biosimilars: a leadership team that has brought numerous successful biologics and biosimilars to market around the world; a purpose-built biosimilars R&amp;D and manufacturing platform; commercial partnerships in global markets; and a diverse, expanding portfolio and pipeline addressing many of the biggest disease areas and health challenges globally.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built a pipeline comprising eight disclosed biosimilar products covering a variety of therapeutic areas, including immunology, ophthalmology, bone disease and cancer:</w:t>
      </w:r>
    </w:p>
    <w:p>
      <w:pPr>
        <w:spacing w:after="0" w:line="162" w:lineRule="exact"/>
        <w:rPr>
          <w:sz w:val="20"/>
          <w:szCs w:val="20"/>
          <w:color w:val="auto"/>
        </w:rPr>
      </w:pPr>
    </w:p>
    <w:p>
      <w:pPr>
        <w:jc w:val="both"/>
        <w:ind w:left="640" w:hanging="315"/>
        <w:spacing w:after="0" w:line="252" w:lineRule="auto"/>
        <w:tabs>
          <w:tab w:leader="none" w:pos="64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Our biologics license application (“BLA”) supporting biosimilarity for AVT02, a biosimilar to Humira® (adalimumab), was filed with the FDA in 2020, and our BLA supporting interchangeability was accepted for review in February 2022. In September 2022, we announced that we had received communication from the FDA, which included a complete response letter (“CRL”) detailing its assessment of the March 2022 inspection of our manufacturing facility in Reykjavik, Iceland and our subsequent written responses to the FDA (the “August 2022 CRL”). The FDA’s August 2022 CRL to the initial biosimilar BLA for AVT02 noted certain deficiencies related to the Reykjavik facility and stated that satisfactory resolution of the deficiencies is required before FDA may approve this first-filed BLA. In December 2022, we received a CRL from the FDA regarding the interchangeability BLA (the “December 2022 CRL”). Under this December 2022 CRL, correction of the same deficiencies identified in the August 2022 CRL with respect to the manufacturing facility is required for approval of the interchangeability BLA. In April 2023, the FDA issued another CRL regarding the initial biosimilar (the “April 2023 CRL”). </w:t>
      </w:r>
      <w:r>
        <w:rPr>
          <w:rFonts w:ascii="Times New Roman" w:cs="Times New Roman" w:eastAsia="Times New Roman" w:hAnsi="Times New Roman"/>
          <w:sz w:val="18"/>
          <w:szCs w:val="18"/>
          <w:color w:val="auto"/>
          <w:highlight w:val="white"/>
        </w:rPr>
        <w:t>The April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2023 CRL noted that certain deficiencies conveyed following the FDA’s recent reinspection of the Reykjavik facility in March 2023 (the “March 2023 Inspection”) must be satisfactorily resolved before the application may be approved. </w:t>
      </w:r>
      <w:r>
        <w:rPr>
          <w:rFonts w:ascii="Times New Roman" w:cs="Times New Roman" w:eastAsia="Times New Roman" w:hAnsi="Times New Roman"/>
          <w:sz w:val="18"/>
          <w:szCs w:val="18"/>
          <w:color w:val="auto"/>
        </w:rPr>
        <w:t>In June 2023, the FDA issued another</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 xml:space="preserve">CRL regarding the interchangeability BLA (the “June 2023 CRL”). The June 2023 CRL noted that the deficiencies previously conveyed following the March 2023 Inspection must be resolved before a BLA application may be approved. </w:t>
      </w:r>
      <w:r>
        <w:rPr>
          <w:rFonts w:ascii="Times New Roman" w:cs="Times New Roman" w:eastAsia="Times New Roman" w:hAnsi="Times New Roman"/>
          <w:sz w:val="18"/>
          <w:szCs w:val="18"/>
          <w:color w:val="auto"/>
          <w:highlight w:val="white"/>
        </w:rPr>
        <w:t>Following the June 2023 CRL,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resubmitted the BLA for AVT02 and, in September 2023, we announced that the FDA had accepted our resubmitted BLA with a February 24, 2024 Biosimilar User Fee Act (BsUFA) goal date. The FDA also indicated that our resubmission is considered to be a complete response to the June 2023 CRL. </w:t>
      </w:r>
      <w:r>
        <w:rPr>
          <w:rFonts w:ascii="Times New Roman" w:cs="Times New Roman" w:eastAsia="Times New Roman" w:hAnsi="Times New Roman"/>
          <w:sz w:val="18"/>
          <w:szCs w:val="18"/>
          <w:color w:val="auto"/>
        </w:rPr>
        <w:t>Since 2021, we, directly or through our partners, received regulatory approval for AVT02 in the EEA, the UK,</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Switzerland, Canada, Australia and Saudi Arabia, and dossiers are under review in multiple countries.</w:t>
      </w:r>
    </w:p>
    <w:p>
      <w:pPr>
        <w:spacing w:after="0" w:line="192" w:lineRule="exact"/>
        <w:rPr>
          <w:rFonts w:ascii="Arial" w:cs="Arial" w:eastAsia="Arial" w:hAnsi="Arial"/>
          <w:sz w:val="18"/>
          <w:szCs w:val="18"/>
          <w:b w:val="1"/>
          <w:bCs w:val="1"/>
          <w:color w:val="auto"/>
        </w:rPr>
      </w:pPr>
    </w:p>
    <w:p>
      <w:pPr>
        <w:jc w:val="both"/>
        <w:ind w:left="640" w:hanging="315"/>
        <w:spacing w:after="0" w:line="255" w:lineRule="auto"/>
        <w:tabs>
          <w:tab w:leader="none" w:pos="64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 AVT04, a proposed biosimilar to Stelara® (ustekinumab), we reported positive topline results from two clinical studies in May 2022. In January 2023, we announced that the FDA had accepted for review a BLA for AVT04. We anticipate that the FDA’s review will be completed in the second half of 2023. In February 2023, we announced that the EMA had accepted a Marketing Authorization Application for AVT04. We, directly or indirectly through our partners, also submitted marketing applications for AVT04 in Japan and Canada in the second half of 2022. In September 2023, we announced that our commercialization partner in Japan, Fuji Pharma Co., Ltd., received marketing approval for AVT04 from the Japanese Ministry of Health, Labor and Welfare. In October 2023, we announced that we had received a CRL from the FDA which states</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603" w:right="539" w:bottom="1440" w:gutter="0" w:footer="0" w:header="0"/>
        </w:sectPr>
      </w:pPr>
    </w:p>
    <w:bookmarkStart w:id="52" w:name="page53"/>
    <w:bookmarkEnd w:id="52"/>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6973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7136130" cy="6697345"/>
                    </a:xfrm>
                    <a:prstGeom prst="rect">
                      <a:avLst/>
                    </a:prstGeom>
                    <a:noFill/>
                  </pic:spPr>
                </pic:pic>
              </a:graphicData>
            </a:graphic>
          </wp:anchor>
        </w:drawing>
        <w:t>that our BLA for AVT04 cannot be approved until the deficiencies conveyed following the March 2023 Inspection have been satisfactorily resolved. No other deficiencies in the BLA for AVT04 were noted by the FDA. In June 2023, Alvotech and Teva, the exclusive commercialization partner for AVT04 in the U.S., reached a settlement and license agreement with Johnson &amp; Johnson, that grants an entry date for AVT04 in the U.S. no later than February 21, 2025.</w:t>
      </w:r>
    </w:p>
    <w:p>
      <w:pPr>
        <w:spacing w:after="0" w:line="180" w:lineRule="exact"/>
        <w:rPr>
          <w:sz w:val="20"/>
          <w:szCs w:val="20"/>
          <w:color w:val="auto"/>
        </w:rPr>
      </w:pPr>
    </w:p>
    <w:p>
      <w:pPr>
        <w:jc w:val="both"/>
        <w:ind w:left="640" w:hanging="315"/>
        <w:spacing w:after="0" w:line="260" w:lineRule="auto"/>
        <w:tabs>
          <w:tab w:leader="none" w:pos="64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in the earlier stages of development for our other lead product candidates, namely AVT03, a biosimilar candidate to Prolia/Xgeva® (denosumab) for which we initiated clinical studies in July 2022, AVT05, a biosimilar candidate to Simponi® and Simponi Aria®</w:t>
      </w:r>
    </w:p>
    <w:p>
      <w:pPr>
        <w:spacing w:after="0" w:line="1" w:lineRule="exact"/>
        <w:rPr>
          <w:rFonts w:ascii="Arial" w:cs="Arial" w:eastAsia="Arial" w:hAnsi="Arial"/>
          <w:sz w:val="18"/>
          <w:szCs w:val="18"/>
          <w:b w:val="1"/>
          <w:bCs w:val="1"/>
          <w:color w:val="auto"/>
        </w:rPr>
      </w:pPr>
    </w:p>
    <w:p>
      <w:pPr>
        <w:jc w:val="both"/>
        <w:ind w:left="640"/>
        <w:spacing w:after="0" w:line="253"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(golimumab) for which we initiated a pharmacokinetic (PK) study in December 2022 and a confirmatory patient study in May 2023, AVT06, a biosimilar candidate to Eylea® (aflibercept) for which we initiated a clinical study in July 2022, and AVT23, a biosimilar candidate to Xolair® (omalizumab). We have an exclusive licensing agreement with Kashiv Biosciences LLC, which will develop and manufacture AVT23. A PK study for AVT23 has been completed and a confirmatory patient study has recently been initiated.</w:t>
      </w:r>
    </w:p>
    <w:p>
      <w:pPr>
        <w:spacing w:after="0" w:line="188"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highlight w:val="white"/>
        </w:rPr>
        <w:t>AVT16, a biosimilar candidate to Entyvio® (vedolizumab) and AVT33, a biosimilar candidate to Keytruda® (pembrolizumab), are in preclinical development.</w:t>
      </w:r>
    </w:p>
    <w:p>
      <w:pPr>
        <w:spacing w:after="0" w:line="162"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highlight w:val="white"/>
        </w:rPr>
        <w:t>AVT19, AVT28 and AVT41 are biosimilar candidates in early phase development. Further information about the reference biologic and therapeutic area have not been disclosed publicly.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commercialize our products, we have formed strategic commercialization partnerships with 18 leading pharmaceutical companies covering over 90 markets globally. We license our intellectual property to these partners in exchange for milestone payments and royalties on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Alvotech is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under the laws of the Grand Duchy of Luxembourg on August 23, 2021, having its registered office at 9, Rue de Bitbourg L-1273 Luxembourg, Grand Duchy of Luxembourg and registered with the Luxembourg Trade and Company Register (</w:t>
      </w:r>
      <w:r>
        <w:rPr>
          <w:rFonts w:ascii="Times New Roman" w:cs="Times New Roman" w:eastAsia="Times New Roman" w:hAnsi="Times New Roman"/>
          <w:sz w:val="18"/>
          <w:szCs w:val="18"/>
          <w:i w:val="1"/>
          <w:iCs w:val="1"/>
          <w:color w:val="auto"/>
        </w:rPr>
        <w:t>Registre de Commerce et des Sociétés, Luxembourg</w:t>
      </w:r>
      <w:r>
        <w:rPr>
          <w:rFonts w:ascii="Times New Roman" w:cs="Times New Roman" w:eastAsia="Times New Roman" w:hAnsi="Times New Roman"/>
          <w:sz w:val="18"/>
          <w:szCs w:val="18"/>
          <w:color w:val="auto"/>
        </w:rPr>
        <w:t>) under number B258884. Our agent for service of process in the United States is Alvotech USA Inc., 1201 Wilson Blvd., Ste. 2130, Arlington, Virginia 22209.</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information statements and other information regarding issuers that file electronically with the SEC.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Alvotech’s principal website address is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We do not incorporate the information contained on, or accessible through, Alvotech’s websites into this prospectus, and you should not consider it a part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qualifies as an “emerging growth company” as defined in the JOBS Act. As an “emerging growth company,” Alvotech may take advantage of certain exemptions from specified disclosure and other requirements that are otherwise generally applicable to public companies. These exemptions include:</w:t>
      </w:r>
    </w:p>
    <w:p>
      <w:pPr>
        <w:spacing w:after="0" w:line="176" w:lineRule="exact"/>
        <w:rPr>
          <w:sz w:val="20"/>
          <w:szCs w:val="20"/>
          <w:color w:val="auto"/>
        </w:rPr>
      </w:pPr>
    </w:p>
    <w:p>
      <w:pPr>
        <w:ind w:left="640" w:hanging="315"/>
        <w:spacing w:after="0" w:line="281" w:lineRule="auto"/>
        <w:tabs>
          <w:tab w:leader="none" w:pos="6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 being required to comply with the auditor attestation requirements for the assessment of our internal control over financial reporting provided by Section 404 of the Sarbanes-Oxley Act of 2002 (the “Sarbanes-Oxley Act”);</w:t>
      </w:r>
    </w:p>
    <w:p>
      <w:pPr>
        <w:spacing w:after="0" w:line="162" w:lineRule="exact"/>
        <w:rPr>
          <w:rFonts w:ascii="Arial" w:cs="Arial" w:eastAsia="Arial" w:hAnsi="Arial"/>
          <w:sz w:val="18"/>
          <w:szCs w:val="18"/>
          <w:b w:val="1"/>
          <w:bCs w:val="1"/>
          <w:color w:val="auto"/>
        </w:rPr>
      </w:pPr>
    </w:p>
    <w:p>
      <w:pPr>
        <w:ind w:left="640" w:hanging="315"/>
        <w:spacing w:after="0"/>
        <w:tabs>
          <w:tab w:leader="none" w:pos="6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24"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not being required to hold a nonbinding advisory vote on executive compensation or seek shareholder approval of any golden parachute payments not previously approved.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Alvotech may take advantage of these reporting exemptions until it is no longer an “emerging growth company.”</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53" w:name="page54"/>
    <w:bookmarkEnd w:id="5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68345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7136130" cy="6834505"/>
                    </a:xfrm>
                    <a:prstGeom prst="rect">
                      <a:avLst/>
                    </a:prstGeom>
                    <a:noFill/>
                  </pic:spPr>
                </pic:pic>
              </a:graphicData>
            </a:graphic>
          </wp:anchor>
        </w:drawing>
        <w:t>Alvotech is also considered a “foreign private issuer” and will report under the Securities Exchange Act of 1934 (as amended, the “Exchange Act”) as a non-U.S. company with “foreign private issuer” status. This means that, even after Alvotech no longer qualifies as an “emerging growth company,” as long as it qualifies as a “foreign private issuer” under the Exchange Act, it will be exempt from certain provisions of the Exchange Act that are applicable to U.S. public companies, including:</w:t>
      </w:r>
    </w:p>
    <w:p>
      <w:pPr>
        <w:spacing w:after="0" w:line="180" w:lineRule="exact"/>
        <w:rPr>
          <w:sz w:val="20"/>
          <w:szCs w:val="20"/>
          <w:color w:val="auto"/>
        </w:rPr>
      </w:pPr>
    </w:p>
    <w:p>
      <w:pPr>
        <w:ind w:left="640" w:hanging="315"/>
        <w:spacing w:after="0" w:line="281" w:lineRule="auto"/>
        <w:tabs>
          <w:tab w:leader="none" w:pos="64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2"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2" w:lineRule="exact"/>
        <w:rPr>
          <w:rFonts w:ascii="Arial" w:cs="Arial" w:eastAsia="Arial" w:hAnsi="Arial"/>
          <w:sz w:val="18"/>
          <w:szCs w:val="18"/>
          <w:b w:val="1"/>
          <w:bCs w:val="1"/>
          <w:color w:val="auto"/>
        </w:rPr>
      </w:pPr>
    </w:p>
    <w:p>
      <w:pPr>
        <w:ind w:left="640" w:hanging="315"/>
        <w:spacing w:after="0" w:line="281" w:lineRule="auto"/>
        <w:tabs>
          <w:tab w:leader="none" w:pos="640" w:val="left"/>
        </w:tabs>
        <w:numPr>
          <w:ilvl w:val="0"/>
          <w:numId w:val="2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Alvotech may take advantage of these reporting exemptions until such time that it is no longer a “foreign private issuer.” Alvotech could lose its status as a “foreign private issuer” under current SEC rules and regulations if more than 50% of Alvotech’s outstanding voting securities become directly or indirectly held of record by U.S. holders and any one of the following is true: (i) the majority of Alvotech’s directors or executive officers are U.S. citizens or residents; (ii) more than 50% of Alvotech’s assets are located in the United States; or (iii) Alvotech’s business is administered principally in the United States.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may choose to take advantage of some but not all of these reduced burdens. Alvotech has taken advantage of reduced reporting requirements in this prospectus. Accordingly, the information contained in this prospectus may be different from the information you receive from Alvotech’s competitors that are public companies, or other public companies in which you have made an investment.</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foreign private issuer, Alvotech is permitted to follow certain Luxembourg corporate governance practices in lieu of certain listing rules of Nasdaq, or Nasdaq Listing Rules. Alvotech plans to follow the corporate governance requirements of the Nasdaq Listing Rules, except that it intends to follow Luxembourg practice with respect to quorum requirements for shareholder meetings in lieu of the requirement under Nasdaq Listing Rules that the quorum be not less than 33 1/3% of the outstanding voting shares. Under Alvotech’s articles of association, at an ordinary general meeting, there is no quorum requirement and resolutions are adopted by a simple majority of validly cast votes. In addition, under Alvotech’s articles of association, for any resolutions to be considered at an extraordinary general meeting of shareholders, the quorum shall be at least one half of our issued share capital unless otherwise mandatorily required by law. In addition, three of Alvotech’s eight directors are independent as defined in Nasdaq listing standards and Alvotech currently has only one director who serves on the compensation committee who meets the heightened independence standards for members of a compensation committee. Finally, Alvotech may choose to take advantage of the exemption from the requirement to obtain shareholder approval for certain issuances of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this prospectus, we may offer ordinary shares, debt securities, warrants, rights or units, either individually or in combination with other securities, from time to time at prices and on terms to be determined by market conditions at the time of the offering, with a total aggregate offering price of up to $100,000,000.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3" w:lineRule="exact"/>
        <w:rPr>
          <w:sz w:val="20"/>
          <w:szCs w:val="20"/>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if applicable;</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54" w:name="page55"/>
    <w:bookmarkEnd w:id="54"/>
    <w:p>
      <w:pPr>
        <w:ind w:left="640" w:hanging="315"/>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381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7136130" cy="3816985"/>
                    </a:xfrm>
                    <a:prstGeom prst="rect">
                      <a:avLst/>
                    </a:prstGeom>
                    <a:noFill/>
                  </pic:spPr>
                </pic:pic>
              </a:graphicData>
            </a:graphic>
          </wp:anchor>
        </w:drawing>
        <w:t>rates and times of payment of interest or dividends, if any;</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or sinking fund terms, if any;</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 and</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exercise prices, if any.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prospectus supplement, and any related free writing prospectus that we may authorize to be provided to you, also may add, update or change information contained in this prospectus or in documents we have incorporated by reference into this prospectus. However, no prospectus supplement or free writing prospectus will fundamentally change the terms that are set forth in this prospectus or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76" w:lineRule="exact"/>
        <w:rPr>
          <w:sz w:val="20"/>
          <w:szCs w:val="20"/>
          <w:color w:val="auto"/>
        </w:rPr>
      </w:pPr>
    </w:p>
    <w:p>
      <w:pPr>
        <w:ind w:left="640" w:hanging="315"/>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22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any securities unless it is accompanied by a prospectus supplement.</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154305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840"/>
          </w:cols>
          <w:pgMar w:left="520" w:top="310" w:right="5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 investment in our securities carries a significant degree of risk. In addition to the other information contained in this prospectus, including the matters addressed under the heading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you should carefully consider the risk factors described in our periodic reports filed with the SEC, including those set forth under the caption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our Annual Report on Form 20-F for the year ended December 31, 2022, which is incorporated by reference in this prospectus, as such discussion may be updated and amended from time to time in subsequent filings we may make with the SEC.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securities could decline, and you could lose part or all of your investment. Additional risks and uncertainties of which we are not presently aware or that we currently deem immaterial could also affect our business operations and financial condition.</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contains, and any accompanying prospectus supplement will contain, forward-looking statements within the meaning of Section 27A of the Securities Act, and Section 21E of the Securities Exchange Act of 1934, as amended (the “Exchange Act”), and the Private Securities Litigation Reform Act of 1995. Also, documents that we incorporate by reference into this prospectus, including documents that we subsequently file with the SEC, will contain forward-looking statements. You should not place undue reliance on such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are often, but not always, made through the use of words or phrases such as “believe,” “anticipate,” “could,” “may,” “would,” “should,” “intend,” “plan,” “potential,” “predict,” “will,” “expect,” “estimate,” “project,” “positioned,” “strategy,” “outlook,” “continue,” “possible,” “might”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w:t>
      </w:r>
    </w:p>
    <w:p>
      <w:pPr>
        <w:spacing w:after="0" w:line="19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 and projections relating to our competitors and industry, including the estimated growth of the industry;</w:t>
      </w:r>
    </w:p>
    <w:p>
      <w:pPr>
        <w:spacing w:after="0" w:line="224" w:lineRule="exact"/>
        <w:rPr>
          <w:rFonts w:ascii="Arial" w:cs="Arial" w:eastAsia="Arial" w:hAnsi="Arial"/>
          <w:sz w:val="18"/>
          <w:szCs w:val="18"/>
          <w:b w:val="1"/>
          <w:bCs w:val="1"/>
          <w:color w:val="auto"/>
        </w:rPr>
      </w:pPr>
    </w:p>
    <w:p>
      <w:pPr>
        <w:ind w:left="660" w:right="360" w:hanging="328"/>
        <w:spacing w:after="0" w:line="281"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and our ability to obtain and maintain regulatory approval for our product candidates from the FDA, European Commission and comparable national or regional authorities;</w:t>
      </w:r>
    </w:p>
    <w:p>
      <w:pPr>
        <w:spacing w:after="0" w:line="162" w:lineRule="exact"/>
        <w:rPr>
          <w:rFonts w:ascii="Arial" w:cs="Arial" w:eastAsia="Arial" w:hAnsi="Arial"/>
          <w:sz w:val="18"/>
          <w:szCs w:val="18"/>
          <w:b w:val="1"/>
          <w:bCs w:val="1"/>
          <w:color w:val="auto"/>
        </w:rPr>
      </w:pPr>
    </w:p>
    <w:p>
      <w:pPr>
        <w:ind w:left="660" w:right="420" w:hanging="328"/>
        <w:spacing w:after="0" w:line="281"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of the announcement of clinical study results, the commencement of patient studies, regulatory applications, approvals and market launches;</w:t>
      </w:r>
    </w:p>
    <w:p>
      <w:pPr>
        <w:spacing w:after="0" w:line="162" w:lineRule="exact"/>
        <w:rPr>
          <w:rFonts w:ascii="Arial" w:cs="Arial" w:eastAsia="Arial" w:hAnsi="Arial"/>
          <w:sz w:val="18"/>
          <w:szCs w:val="18"/>
          <w:b w:val="1"/>
          <w:bCs w:val="1"/>
          <w:color w:val="auto"/>
        </w:rPr>
      </w:pPr>
    </w:p>
    <w:p>
      <w:pPr>
        <w:ind w:left="660" w:right="480" w:hanging="328"/>
        <w:spacing w:after="0" w:line="281" w:lineRule="auto"/>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regulatory review and interactions, including the timing and results of the facility inspection by the FDA or other foreign regulatory authorities;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financial performance;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our strategy, future operations, financial position, estimated revenues and losses, projected costs, prospects and plans;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strategic advantages and the impact those advantages will have on future financial and operational results;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expansion plans and opportunities;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grow our business in a cost-effective manner;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implementation, market acceptance and success of our business model;</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and projections relating to our competitors and industry, including the estimated growth of the industry;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approach and goals with respect to technology;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expectations regarding our ability to obtain and maintain intellectual property protection and not infringe on the rights of others;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applicable laws or regulations;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maintain the listing of ordinary shares on The Nasdaq Stock Market LLC and Nasdaq Iceland Main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comply with all applicable laws and regulations;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successfully launch our products in certain markets after obtaining regulatory approval for such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estimates of expenses and profitability;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expected cash runway and our ability to raise additional adequate funds through equity or debt financing;</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identify and successfully develop new product candidates;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relationship with third party providers for clinical and non-clinical studies, supplies, and manufacturing of our products;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manage our manufacturing risks;</w:t>
      </w:r>
    </w:p>
    <w:p>
      <w:pPr>
        <w:spacing w:after="0" w:line="224" w:lineRule="exact"/>
        <w:rPr>
          <w:rFonts w:ascii="Arial" w:cs="Arial" w:eastAsia="Arial" w:hAnsi="Arial"/>
          <w:sz w:val="18"/>
          <w:szCs w:val="18"/>
          <w:b w:val="1"/>
          <w:bCs w:val="1"/>
          <w:color w:val="auto"/>
        </w:rPr>
      </w:pPr>
    </w:p>
    <w:p>
      <w:pPr>
        <w:ind w:left="660" w:right="140" w:hanging="328"/>
        <w:spacing w:after="0" w:line="265" w:lineRule="auto"/>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impact of worsening or unpredictable macroeconomic conditions, including rising inflation, interest rates and cost of energy, and general market conditions, war in Ukraine and global geopolitical tension, and public health emergencies, such as COVID-19 pandemic, on the business, financial position, strategy and anticipated milestones; and</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relationship with partners for the commercialization of our product candidates.</w:t>
      </w:r>
    </w:p>
    <w:p>
      <w:pPr>
        <w:spacing w:after="0" w:line="2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and other factors are more fully discussed under “</w:t>
      </w:r>
      <w:r>
        <w:rPr>
          <w:rFonts w:ascii="Times New Roman" w:cs="Times New Roman" w:eastAsia="Times New Roman" w:hAnsi="Times New Roman"/>
          <w:sz w:val="18"/>
          <w:szCs w:val="18"/>
          <w:i w:val="1"/>
          <w:iCs w:val="1"/>
          <w:color w:val="auto"/>
        </w:rPr>
        <w:t>Item 3. Key Information—D. Risk Factors</w:t>
      </w:r>
      <w:r>
        <w:rPr>
          <w:rFonts w:ascii="Times New Roman" w:cs="Times New Roman" w:eastAsia="Times New Roman" w:hAnsi="Times New Roman"/>
          <w:sz w:val="18"/>
          <w:szCs w:val="18"/>
          <w:color w:val="auto"/>
        </w:rPr>
        <w:t>” in our most recent Annual Report on Form 20-F for the year ended December 31, 2022, as such discussion may be updated and amended from time to time in subsequent filings we may make with the SEC, and in other documents that we may file with the SEC, all of which you should review carefully. These risks could cause actual results to differ materially from those implied by forward-looking statements in this prospectus and supplements to this prospectus. Please consider our forward-looking statements in light of these risks as you read this prospectus, the documents incorporated by reference herein, and any applicable prospectus supplement.</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because they are based on the information currently available to us and speak only as of the date on the cover of this prospectus, the date of any prospectus supplement, or, in the case of forward-looking statements incorporated by reference, the date of the filing that includes the statement. New risks and uncertainties come up from time to time, and it is impossible for us to predict these events or how they may affect us. We do not undertake any obligation to update or revise any forward-looking statements whether as a result of new information, future events or otherwise, except as required by law. In light of these risks and uncertainties, you should keep in mind that any event described in a forward-looking statement made in this prospectus or elsewhere might not occur.</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OFFER AND LISTING DETAILS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sell from time to time pursuant to this prospectus (as may be detailed in a prospectus supplement) an indeterminate number of ordinary shares, debt securities, warrants, rights or units, either individually or in combination, as shall have a maximum aggregate offering price of up to $100,000,000. The actual price per share or per security of the securities that we will offer pursuant hereto will depend on a number of factors that may be relevant as of the time of offer.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assure you that we will receive any proceeds in connection with securities offered pursuant to this prospectus. Unless otherwise indicated in the applicable prospectus supplement, we intend to use any net proceeds from the sale of securities under this prospectus for our operations and for other general corporate purposes, which may include, among others, working capital, intellectual property protection and enforcement, commercial expenditures, capital expenditures, acquisitions or collaborations, pre-clinical and clinical development of our product candidates, research and development and product development, pre-commercialization activities and repayment or refinancing of indebtedness or other corporate borrowings. We may also use a portion of the net proceeds to invest in or acquire businesses or technologies that we believe are complementary to our own, although we have no current plans, commitments or agreements with respect to any acquisitions as of the date of this prospectus. We may set forth additional information on the use of proceeds from the sale of securities we offer under this prospectus in a prospectus supplement relating to the specific offering. We have not determined the amount of net proceeds to be used specifically for the foregoing purposes. As a result, our management will have broad discretion in the allocation of the net proceeds. Pending use of the net proceeds, we would expect to invest any proceeds in a variety of capital preservation instruments, including short-term and long-term, investment grade, interest bearing instruments.</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Alvotech is a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incorporated under the laws of the Grand Duchy of Luxembourg on August 23, 2021 with an initial share capital of $40,000, represented by 4,000,000 initial shares with a nominal value of $0.01 per share. All issued shares were fully paid and subscribed for.</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registered with the Luxembourg Trade and Companies Register (</w:t>
      </w:r>
      <w:r>
        <w:rPr>
          <w:rFonts w:ascii="Times New Roman" w:cs="Times New Roman" w:eastAsia="Times New Roman" w:hAnsi="Times New Roman"/>
          <w:sz w:val="18"/>
          <w:szCs w:val="18"/>
          <w:i w:val="1"/>
          <w:iCs w:val="1"/>
          <w:color w:val="auto"/>
        </w:rPr>
        <w:t>Registre de Commerce et des Sociétés, Luxembourg</w:t>
      </w:r>
      <w:r>
        <w:rPr>
          <w:rFonts w:ascii="Times New Roman" w:cs="Times New Roman" w:eastAsia="Times New Roman" w:hAnsi="Times New Roman"/>
          <w:sz w:val="18"/>
          <w:szCs w:val="18"/>
          <w:color w:val="auto"/>
        </w:rPr>
        <w:t>) under number B258884.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registered office is at 9, Rue de Bitbourg, L-1273 Luxembourg, Grand Duchy of Luxembourg.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2023, Alvotech had 266,023,002 ordinary shares with a nominal value of $0.01 per share, issued and outstanding. All issued ordinary shares are fully paid and subscribed for. In addition, Alvotech Manco ehf., a subsidiary of Alvotech, held 23,704,460 ordinary shares, the voting and dividend rights of which are suspended.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authorized capital of Alvotech (excluding the issued share capital) is set at $59,364,290.43, divided into 5,936,429,043 ordinary shares with a nominal value of $0.01 each.</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A shareholder in a Luxembourg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holding fully paid-up shares is not liable, solely because of his, her or its shareholder status, for additional payments to Alvotech or its creditors.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Number of Ordinary Shares Outstanding through June 30, 2023</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Alvotech’s initial formation on August 23, 2021, Alvotech issued 4,000,000 initial shares with a nominal value of $0.01 per share to Floki Holdings S.à r.l.</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On June 15, 2022, after the Closing of the Business Combination, Alvotech’s issued share capital equaled $2,486,495.05, represented by 248,649,505 ordinary shares with a nominal value of $0.01 per share, including 17,493,000 ordinary shares to the Subscribers in the PIPE Financing at a price of $10.00 per share, for an aggregate offering price of $174,930,000.</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On July 12, 2022, Alvotech issued 5,000,000 ordinary shares to Aztiq and Alvogen pursuant to the Alvogen-Aztiq Loan Advance Conversion. The shares were issued at a price of $10.00 per share and set-off against repayment of an aggregate of $50.0 million of outstanding loans.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November 16, 2022, Alvotech amended and restated certain terms and conditions of the existing senior bonds and issued new senior bonds in the aggregate principal amount equal to $70.0 million. Pursuant to the terms of the amended Senior Bonds, Alvotech was required to use commercially reasonable efforts to raise new funding through the issuance of additional ordinary shares and/or unsecured convertible bonds, for net proceeds of at least $75.0 million by December 15, 2022, and $150.0 million by March 31, 2023.</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Since Alvotech had not raised $75.0 million by December 15, 2022, Alvotech issued 4,198,807 warrants to the bondholders on December 31, 2022. Each new warrant entitles the bondholders, upon exercise, to receive from Alvotech one Ordinary Share, at the exercise price of one cent ($0.01) per share. As of June 30, 2023, 2,479,962 of the warrants were exercised and 1,718,845 remain outstanding. Further, Alvotech was required to raise at least $150.0 million by March 31, 2023 or to grant penny warrants representing 1.0% of the ordinary share capital to the bondholders if it failed to raise that amount. Following the issuance of the December 2022 Convertible Bonds and the closing of the private placement of ordinary shares for gross proceeds of $137.0 million on February 10, 2023 (as described below), Alvotech was not obligated to issue the additional 1.0% warrants to the bondholders.</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On November 16, 2022, Alvotech issued the Aztiq Convertible Bond to ATP Holdings ehf. for the acquisition of the Alvotech manufacturing facility. The Aztiq Convertible Bond has a principal amount of $80.0 million and carries an interest rate of 12.5% per annum. Interest payable in six-month intervals and is capitalized and added to the outstanding principal amount of the bonds. The maturity date of the convertible bond is the later of the (i) November 16, 2025, or (ii) 91 days after the earlier of the full redemption or the final maturity date of the Senior Bonds. Bondholders have the right to convert their outstanding bonds into ordinary shares of Alvotech on December 31, 2023, June 30, 2024, or when the bond has been called or put up for redemption, including on the maturity date, for a conversion price of $10.00 per share.</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December 20, 2022, Alvotech issued two tranches of the December 2022 Convertible Bonds. Tranche A is ISK denominated with a principal balance of $59.1 million, of which $3.5 million in cash proceeds were received subsequent to December 31, 2022, and carries an annual payment-in-kind interest rate of 15% per year. Tranche B is USD denominated with a principal balance of $0.6 million and carries an annual payment-in-kind interest rate of 12.5% per year. Holders of both the Tranche A and Tranche B convertible bonds, may elect, at their sole discretion, to convert all or part of the principal amount and accrued interest into ordinary shares at a conversion price of $10.00 per share on December 31, 2023, or June 30, 2024. On January 25, 2023, Alvotech issued an additional $10.0 million in the Tranche B December 2022 Convertible Bonds.</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February 10, 2023, Alvotech closed a private placement of 11,834,061 ordinary shares at a purchase price of $11.57 per ordinary share for proceeds of $137.0 million and transaction costs of $4.8 million. The offer or sale of ordinary shares was made in an overseas directed offering directed solely into Iceland and in accordance with local laws and customary practices and documentation.</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July 4, 2022, Alvotech issued 27,072,167 ordinary shares subscribed to by Alvotech’s affiliate, Alvotech Manco ehf. On March 28, 2023, Alvotech issued an additional 14,005,790 ordinary shares to Alvotech Manco ehf. These shares issued to Alvotech Manco ehf are mainly used to settle the exercise of warrants, capital increases such as the ones mentioned above, and grants under Alvotech’s equity incentive plan. As of June 30, 2023, Alvotech Manco ehf. holds 23,704,460 ordinary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Issuances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Luxembourg law, the issuance of ordinary shares requires approval by the extraordinary general meeting of shareholders in front of a notary subject to necessary quorum and majority requirements. The extraordinary general meeting of shareholders may approve an authorized capital and authorize the board of directors to increase the issued share capital in one or several tranches with or without share premium, against payment in cash or in kind, by conversion of claims on Alvotech or in any other manner for any reason whatsoever including (i) issue subscription and/or conversion rights in relation to new shares or instruments within the limits of the authorized capital under the terms and conditions of warrants (which may be separate or linked to shares, bonds, notes or similar instruments issued by Alvotech), convertible bonds, notes or similar instruments; (ii) determine the place and date of the issue or successive issues, the issue price, the terms and conditions of the subscription of and paying up on the new shares and instruments and (iii) remove or limit the statutory preferential subscription right of the shareholders in case of issue against payment in cash or shares, warrants (which may be separate or attached to shares, bonds, notes or similar instruments), convertible bonds, notes or similar instruments up to the maximum amount of such authorized capital for a maximum period of five years after the date that the minutes of the relevant general meeting approving such authorization are published in the Luxembourg official gazette (</w:t>
      </w:r>
      <w:r>
        <w:rPr>
          <w:rFonts w:ascii="Times New Roman" w:cs="Times New Roman" w:eastAsia="Times New Roman" w:hAnsi="Times New Roman"/>
          <w:sz w:val="18"/>
          <w:szCs w:val="18"/>
          <w:i w:val="1"/>
          <w:iCs w:val="1"/>
          <w:color w:val="auto"/>
        </w:rPr>
        <w:t>Recueil Electronique des Sociétés et Associations, “RESA”</w:t>
      </w:r>
      <w:r>
        <w:rPr>
          <w:rFonts w:ascii="Times New Roman" w:cs="Times New Roman" w:eastAsia="Times New Roman" w:hAnsi="Times New Roman"/>
          <w:sz w:val="18"/>
          <w:szCs w:val="18"/>
          <w:color w:val="auto"/>
        </w:rPr>
        <w:t>). The extraordinary general meeting may amend, renew, or extend such authorized capital and such authorization to the board of directors to issue ordinary shares.</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the extraordinary general meeting of shareholders may authorize the board of directors to make an allotment of existing or newly issued shares without consideration to (a) employees of Alvotech or certain categories amongst those; (b) employees of companies or economic interest grouping in which Alvotech holds directly or indirectly at least 10% of the share capital or voting rights; (c) employees of companies or economic interest grouping which directly or indirectly hold at least 10% of the share capital or voting rights of Alvotech; (d) employees of companies or economic interest grouping in which at least 50% of the share capital or voting rights is held directly or indirectly by a company which holds directly or indirectly at least 50% of the share capital of Alvotech; (e) members of the corporate bodies of Alvotech or of the companies or economic interest grouping listed in point (b) to (d) above</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or certain categories amongst those, for a maximum period of five years after the date that the minutes of the relevant general meeting approving such authorization are published in the RESA.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recognizes only one holder per ordinary share. In case an ordinary share is owned by several persons, they shall appoint a single representative who shall represent them in respect of Alvotech. Alvotech has the right to suspend the exercise of all rights attached to that share, except for relevant information rights, until such representative has been appointed.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board of directors resolved on the issuance of ordinary shares out of the authorized capital (</w:t>
      </w:r>
      <w:r>
        <w:rPr>
          <w:rFonts w:ascii="Times New Roman" w:cs="Times New Roman" w:eastAsia="Times New Roman" w:hAnsi="Times New Roman"/>
          <w:sz w:val="18"/>
          <w:szCs w:val="18"/>
          <w:i w:val="1"/>
          <w:iCs w:val="1"/>
          <w:color w:val="auto"/>
        </w:rPr>
        <w:t>capital autorisé</w:t>
      </w:r>
      <w:r>
        <w:rPr>
          <w:rFonts w:ascii="Times New Roman" w:cs="Times New Roman" w:eastAsia="Times New Roman" w:hAnsi="Times New Roman"/>
          <w:sz w:val="18"/>
          <w:szCs w:val="18"/>
          <w:color w:val="auto"/>
        </w:rPr>
        <w:t>) in accordance with the quorum and voting thresholds set forth in the articles of association and applicable law to the Subscribers in the PIPE Financing.</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also resolves on the applicable procedures and timelines to which such issuance will be subjected. If the proposal of the board of directors to issue new ordinary shares exceeds the limits of Alvotech’s authorized share capital, the board of directors must then convene the shareholders to an extraordinary general meeting to be held in front of a Luxembourg notary for the purpose of increasing the issued share capital. Such meeting will be subject to the quorum and majority requirements required for amending the articles of association. If the capital call proposed by the board of directors consists of an increase in the shareholders’ commitments, the board of directors must convene the shareholders to an extraordinary general meeting to be held in front of a Luxembourg notary for such purpose. Such meeting will be subject to the unanimous consent of the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Preferential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Luxembourg law, existing shareholders benefit from a preferential subscription right on the issuance of ordinary shares for cash consideration. However, Alvotech’s shareholders have, in accordance with Luxembourg law, authorized the board of directors to suppress, waive, or limit any preferential subscription rights of shareholders provided by law to the extent that the board of directors deems such suppression, waiver, or limitation advisable for any issuance or issuances of ordinary shares within the scope of Alvotech’s authorized share capital. The general meeting of shareholders duly convened to consider an amendment to the articles of association also may, by a two-thirds majority vote at a quorate meeting, limit, waive, or cancel such preferential subscription rights or renew, amend, or extend the authorization of the board of directors to suppress, waive, or limit such preferential subscription rights, in each case for a period not to exceed five years. Such ordinary shares may be issued above, at, or below market value, and, following a certain procedure, even below the nominal value or below the accounting par value per ordinary share. The ordinary shares also may be issued by way of incorporation of available reserves, including share premium.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Alvotech cannot subscribe for its own ordinary shares. Alvotech may, however, repurchase issued ordinary shares or have another person repurchase issued ordinary shares for its account, generally subject to the following conditions and the respect of the principle of equal treatment of shareholders being in the same situation and applicable securities laws:</w:t>
      </w:r>
    </w:p>
    <w:p>
      <w:pPr>
        <w:spacing w:after="0" w:line="17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prior authorization by a simple majority vote at an ordinary general meeting of shareholders, which authorization sets forth:</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and conditions of the proposed repurchase and in particular the maximum number of ordinary shares to be repurchased;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duration of the period for which the authorization is given, which may not exceed five years;</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repurchase for consideration, the minimum and maximum consideration per share, provided that the prior authorization shall not apply in the case of ordinary shares acquired by either Alvotech, or by a person acting in his or her own name on its behalf, for the distribution thereof to its staff or to the staff of a company with which it is in a control relationship;</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660" w:hanging="328"/>
        <w:spacing w:after="0"/>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only fully paid-up ordinary shares may be repurchased; and</w:t>
      </w:r>
    </w:p>
    <w:p>
      <w:pPr>
        <w:spacing w:after="0" w:line="224" w:lineRule="exact"/>
        <w:rPr>
          <w:rFonts w:ascii="Arial" w:cs="Arial" w:eastAsia="Arial" w:hAnsi="Arial"/>
          <w:sz w:val="18"/>
          <w:szCs w:val="18"/>
          <w:b w:val="1"/>
          <w:bCs w:val="1"/>
          <w:color w:val="auto"/>
        </w:rPr>
      </w:pPr>
    </w:p>
    <w:p>
      <w:pPr>
        <w:jc w:val="both"/>
        <w:ind w:left="660" w:hanging="328"/>
        <w:spacing w:after="0" w:line="258" w:lineRule="auto"/>
        <w:tabs>
          <w:tab w:leader="none" w:pos="660" w:val="left"/>
        </w:tabs>
        <w:numPr>
          <w:ilvl w:val="0"/>
          <w:numId w:val="3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voting and dividend rights attached to the repurchased shares will be suspended as long as the repurchased ordinary shares are held by Alvotech; and the acquisition offer must be made on the same terms and conditions to all the shareholders who are in the same position, except for acquisitions which were unanimously decided by a general meeting at which all the shareholders were present or represented. However, listed companies like us may repurchase their own shares on the stock exchange without an acquisition offer having to be made to Alvotech’s shareholders.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authorization will be valid for a period ending on the earlier of five years from the date of such shareholder authorization and the date of its renewal by a subsequent general meeting of shareholders. Pursuant to such authorization, the board of directors is authorized to acquire ordinary shares under the conditions set forth in article 430-15 of the Luxembourg law of August 10, 1915 on commercial companies, as amended from time to time (the “</w:t>
      </w:r>
      <w:r>
        <w:rPr>
          <w:rFonts w:ascii="Times New Roman" w:cs="Times New Roman" w:eastAsia="Times New Roman" w:hAnsi="Times New Roman"/>
          <w:sz w:val="18"/>
          <w:szCs w:val="18"/>
          <w:b w:val="1"/>
          <w:bCs w:val="1"/>
          <w:color w:val="auto"/>
        </w:rPr>
        <w:t>Luxembourg Company law</w:t>
      </w:r>
      <w:r>
        <w:rPr>
          <w:rFonts w:ascii="Times New Roman" w:cs="Times New Roman" w:eastAsia="Times New Roman" w:hAnsi="Times New Roman"/>
          <w:sz w:val="18"/>
          <w:szCs w:val="18"/>
          <w:color w:val="auto"/>
        </w:rPr>
        <w:t>”). Such purchases and subsequent sales may be carried out for any authorized purpose or any purpose that is authorized by the laws and regulations in force. The purchase price per ordinary share to be determined by the board of directors or its delegate shall represent not more than the fair market value of such ordinary share.</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pursuant to Luxembourg law, Alvotech may directly or indirectly repurchase ordinary shares by resolution of its board of directors without the prior approval of the general meeting of shareholders if such repurchase is deemed by the board of directors to be necessary to prevent serious and imminent harm to Alvotech in accordance with article 430-15(2) of the Luxembourg Company Law, or if the acquisition of ordinary shares has been made with the intent of distribution to its employees and/or the employees of any entity having a controlling relationship with it (i.e., its subsidiaries or controlling shareholder) in accordance with article 430-15(3) of the Luxembourg Company Law or in any of the circumstances listed in article 430-16 of the Luxembourg Company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General Meeting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an ordinary general meeting, there is no quorum requirement and resolutions are adopted by a simple majority of validly cast votes. Abstentions are not considered “votes.”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Extraordinary General Meeting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Resolutions adopted at an extraordinary general meeting are required for any of the following matters, among others: (i) an increase or decrease of the authorized or issued capital, (ii) a limitation or exclusion of preferential subscription rights, (iii) approval of a statutory merger or de-merger (scission), (iv) Alvotech’s dissolution and liquidation, (v) any and all amendments to Alvotech’s articles of association and (vi) change of nationality. Pursuant to Alvotech’s articles of association, for any resolutions to be considered at an extraordinary general meeting of shareholders, the quorum shall be at least one half of Alvotech’s issued share capital unless otherwise mandatorily required by law. If the said quorum is not present, a second meeting may be convened, for which Luxembourg Company Law does not prescribe a quorum. Any resolution taken at an extraordinary general meeting shall be adopted at a quorate general meeting, except otherwise provided by law, by at least a two-thirds majority of the votes cast on such resolution by shareholders. Abstentions are not considered “votes.”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Shareholders Meetings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annual general meeting of shareholders shall in principle be held in the Grand Duchy of Luxembourg within 6 months of the end of the preceding financial year. Alvotech’s first financial year ended on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the annual net profits of Alvotech, at least 5% shall each year be allocated to the reserve required by applicable laws (the “Legal Reserve”). That allocation to the Legal Reserve will cease to be required as soon and as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long as the Legal Reserve amounts to 10% of the amount of the issued share capital of Alvotech. The general meeting of shareholders shall resolve how the remainder of the annual net profits, after allocation to the Legal Reserve, will be disposed of by allocating the whole or part of the remainder to a reserve or to a provision, by carrying it forward to the next following financial year or by distributing it, each Ordinary Share entitling to the same proportion in such distributions.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may resolve that Alvotech pays out an interim dividend to the shareholders, subject to the conditions of article 461-3 of the Luxembourg Company Law and Alvotech’s articles of association. The board of directors shall set the amount and the date of payment of the interim dividend.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share premium assimilated premium or other distributable reserve may be freely distributed to the shareholders subject to the provisions of the Luxembourg Company Law and Alvotech’s articles of association. In case of a dividend payment, each shareholder is entitled to receive a dividend right pro rata according to his or her respective shareholding. The dividend entitlement lapses upon the expiration of a five-year prescription period from the date of the dividend distribution. The unclaimed dividends return to Alvotech’s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Provisions of Our Articles of Association</w:t>
      </w:r>
    </w:p>
    <w:p>
      <w:pPr>
        <w:spacing w:after="0" w:line="227"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summary of certain key provisions of our articles of association not discussed elsewhere in this section. Please note that this is only a summary and is not intended to be exhaustive.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 and Purpose (Article 2)</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purpose of Alvotech is the holding of participations in any form whatsoever in Luxembourg and foreign companies and in any other form of investment, the acquisition by purchase, subscription or in any other manner as well as the transfer by sale, exchange or otherwise of securities of any kind and the administration, management, control and development of its portfolio. Alvotech may grant loans to, as well as guarantees or security for the benefit of third parties to secure its obligations and obligations of other companies in which it holds a direct or indirect participation or right of any kind or which form part of the same group of companies as Alvotech, or otherwise assist such companies. Alvotech may raise funds through borrowing in any form or by issuing any kind of notes, securities or debt instruments, bonds and debentures and generally issue securities of any type. The Company may carry out any commercial, industrial, financial, real estate or intellectual property activities which it considers useful for the accomplishment of these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Quorum, Majority and Voting rights (Article 11)</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Ordinary Share entitles the holder thereof to one vote. Neither Luxembourg law nor Alvotech’s articles of association contain any restrictions as to the voting of Ordinary Shares by non-Luxembourg residents. The Luxembourg Company Law distinguishes ordinary general meetings of shareholders and extraordinary general meetings of shareholders with respect to the required quorums and majorities.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required by the Luxembourg Company Law or these articles of association, resolutions at a general meeting of shareholders duly convened shall not require any quorum and shall be adopted at a simple majority of the votes validly cast regardless of the portion of capital represented. Abstentions and nil votes shall not be taken into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Articles of Associations (Article 12)</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Luxembourg law, amendments to Alvotech’s articles of association require an extraordinary general meeting of shareholders held in front of a Luxembourg notary at which (i) a quorum of more than half (50%) of the share capital is present or represented and (ii) the amendment(s) is approved by a two thirds majority of the votes validly cast. If the aforementioned quorum is not reached, a second meeting may be convened by means of a notice published in the RESA and in a Luxembourg newspaper. The second meeting shall be validly constituted regardless of the proportion of the share capital present or represented and resolutions at such second meeting will be adopted by a majority of at least two-thirds of the votes cast by shareholders (unless otherwise required by Luxembourg law or the</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spacing w:after="0" w:line="266" w:lineRule="auto"/>
        <w:rPr>
          <w:sz w:val="20"/>
          <w:szCs w:val="20"/>
          <w:color w:val="auto"/>
        </w:rPr>
      </w:pPr>
      <w:r>
        <w:rPr>
          <w:rFonts w:ascii="Times New Roman" w:cs="Times New Roman" w:eastAsia="Times New Roman" w:hAnsi="Times New Roman"/>
          <w:sz w:val="18"/>
          <w:szCs w:val="18"/>
          <w:color w:val="auto"/>
        </w:rPr>
        <w:t>articles of association). Where different classes of shares exist and the resolution to be adopted by the general meeting of shareholders changes the respective rights attaching to such shares, the resolution will be adopted only if the conditions as to quorum and majorities set out above are fulfilled with respect to each class of shares.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Alvotech’s articles of association and the Luxembourg Company Law provide that for any extraordinary resolutions to be considered at a general meeting, the quorum shall be at least one-half of Alvotech’s issued share capital. If the said quorum is not present, a second meeting may be convened at which Luxembourg law does not prescribe a quorum. Any extraordinary resolution shall be adopted at a quorate general meeting (save as otherwise provided by mandatory law) by a two-thirds majority of the votes cast on such resolution by shareholders. Abstentions are not considered “votes.”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governmental laws, decrees, regulations or other legislation in the Grand Duchy of Luxembourg that may affect the import or export of capital, including the availability of cash and cash equivalents for use by us, or that may affect the remittance of dividends, interest, or other payments by us to non-resident holders of our Ordinary Shares, other than withholding tax requirements. There is no limitation imposed by the laws of the Grand Duchy of Luxembourg or in the articles of association on the right of non-residents to hold or vote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Computershare Trust Company, 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ordinary shares are currently listed on Nasdaq and Nasdaq Iceland Main Market under the symbol “ALVO.”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Luxembourg Corporate Law and Delaware Corporate Law</w:t>
      </w:r>
    </w:p>
    <w:p>
      <w:pPr>
        <w:spacing w:after="0" w:line="223" w:lineRule="exact"/>
        <w:rPr>
          <w:sz w:val="20"/>
          <w:szCs w:val="20"/>
          <w:color w:val="auto"/>
        </w:rPr>
      </w:pPr>
    </w:p>
    <w:p>
      <w:pPr>
        <w:ind w:left="4680"/>
        <w:spacing w:after="0"/>
        <w:tabs>
          <w:tab w:leader="none" w:pos="880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16510</wp:posOffset>
            </wp:positionV>
            <wp:extent cx="53403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p>
      <w:pPr>
        <w:ind w:left="2820" w:right="120" w:hanging="28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SHAREHOLDER RIGHTS PLAN </w:t>
      </w:r>
      <w:r>
        <w:rPr>
          <w:rFonts w:ascii="Times New Roman" w:cs="Times New Roman" w:eastAsia="Times New Roman" w:hAnsi="Times New Roman"/>
          <w:sz w:val="18"/>
          <w:szCs w:val="18"/>
          <w:color w:val="auto"/>
        </w:rPr>
        <w:t>Under the DGCL, the certificate of incorporation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give the board of directors the right to issue new classes of preferred shares with voting, conversion, dividend distribution, and other rights to be determined by the board of directors at the time of issuance, which could prevent a takeover attempt and thereby preclude stockholders from realizing a potential premium over the market value of their shares.</w:t>
      </w:r>
    </w:p>
    <w:p>
      <w:pPr>
        <w:spacing w:after="0" w:line="192" w:lineRule="exact"/>
        <w:rPr>
          <w:sz w:val="20"/>
          <w:szCs w:val="20"/>
          <w:color w:val="auto"/>
        </w:rPr>
      </w:pPr>
    </w:p>
    <w:p>
      <w:pPr>
        <w:jc w:val="both"/>
        <w:ind w:left="2820"/>
        <w:spacing w:after="0" w:line="258" w:lineRule="auto"/>
        <w:rPr>
          <w:sz w:val="20"/>
          <w:szCs w:val="20"/>
          <w:color w:val="auto"/>
        </w:rPr>
      </w:pPr>
      <w:r>
        <w:rPr>
          <w:rFonts w:ascii="Times New Roman" w:cs="Times New Roman" w:eastAsia="Times New Roman" w:hAnsi="Times New Roman"/>
          <w:sz w:val="18"/>
          <w:szCs w:val="18"/>
          <w:color w:val="auto"/>
        </w:rPr>
        <w:t>In addition, Delaware law does not prohibit a corporation from adopting a stockholder rights plan, or “poison pill,” which could prevent a takeover attempt and also preclude stockholders from realizing a potential premium over the market value of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Pursuant to Luxembourg law, the shareholders may create an authorized share capital which allows the board of directors to increase the issued share capital for a price defined by the board of directors of Alvotech (which may or may not include an issue premium) against payment in cash or in kind, including by conversion of claims on Alvotech for any reason whatsoever including (i) issue subscription and/or conversion rights in relation to new shares or instruments within the limits of the authorized capital under the terms and conditions of warrants (which may be separate or linked to shares, bonds, notes or similar instruments issued by Alvotech), convertible bonds, notes or similar instruments; (ii) determine the place and date of the issuance or successive issuances, the issue price, the terms and conditions of the issuance of and paying up on the new shares and instruments and</w:t>
      </w:r>
    </w:p>
    <w:p>
      <w:pPr>
        <w:spacing w:after="0" w:line="4" w:lineRule="exact"/>
        <w:rPr>
          <w:sz w:val="20"/>
          <w:szCs w:val="20"/>
          <w:color w:val="auto"/>
        </w:rPr>
      </w:pPr>
    </w:p>
    <w:p>
      <w:pPr>
        <w:ind w:right="20" w:firstLine="3"/>
        <w:spacing w:after="0" w:line="253" w:lineRule="auto"/>
        <w:tabs>
          <w:tab w:leader="none" w:pos="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or limit the statutory preferential subscription right of the shareholders in case of issue against payment in cash or shares, warrants (which may be separate or attached to</w:t>
      </w:r>
    </w:p>
    <w:p>
      <w:pPr>
        <w:sectPr>
          <w:pgSz w:w="11900" w:h="16838" w:orient="portrait"/>
          <w:cols w:equalWidth="0" w:num="2">
            <w:col w:w="6980" w:space="220"/>
            <w:col w:w="4040"/>
          </w:cols>
          <w:pgMar w:left="320" w:top="121" w:right="339" w:bottom="144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APPRAISAL RIGHTS</w:t>
      </w:r>
      <w:r>
        <w:rPr>
          <w:sz w:val="20"/>
          <w:szCs w:val="20"/>
          <w:color w:val="auto"/>
        </w:rPr>
        <w:tab/>
      </w:r>
      <w:r>
        <w:rPr>
          <w:rFonts w:ascii="Times New Roman" w:cs="Times New Roman" w:eastAsia="Times New Roman" w:hAnsi="Times New Roman"/>
          <w:sz w:val="18"/>
          <w:szCs w:val="18"/>
          <w:color w:val="auto"/>
        </w:rPr>
        <w:t>Under the DGCL, a stockholder of a corporation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participating in some types of major corporate transactions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may, under varying circumstances, be entitled to appraisal</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rights pursuant to which the stockholder may receive cash</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 the amount of the fair market value of his or her shares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in lieu of the</w:t>
      </w:r>
    </w:p>
    <w:p>
      <w:pPr>
        <w:spacing w:after="0" w:line="16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Times New Roman" w:cs="Times New Roman" w:eastAsia="Times New Roman" w:hAnsi="Times New Roman"/>
          <w:sz w:val="17"/>
          <w:szCs w:val="17"/>
          <w:color w:val="auto"/>
        </w:rPr>
        <w:t>shares, bonds, notes or similar instruments), convertible bonds, notes or similar instruments within the limits of such authorized share capital. The board of directors may be further authorized to, under certain conditions, limit, restrict, or waive preferential subscription rights of existing shareholders when issuing new shares within the authorized share capital. The rights attached to the new shares issued within the authorized share capital will be equal to those attached to existing shares and set forth in the articles of association.</w:t>
      </w:r>
    </w:p>
    <w:p>
      <w:pPr>
        <w:spacing w:after="0" w:line="17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authorization to the board of directors to issue additional shares or other instruments as described above within the authorized share capital (and to limit, restrict, or waive, as the case may be preferential subscription rights) as well as the authorization to allot shares without consideration may be valid for a period of up to five years, starting from either the date of the minutes of the extraordinary general meeting resolving upon such authorization or starting from the date of the publication of the minutes of the extraordinary general meeting resolving upon such authorization in the Luxembourg official electronic gazette (RESA). The authorization may be renewed, increased or reduced by a resolution of the extraordinary general meeting of shareholders, with the quorum and majority rules set for the amendment of the articles of association.</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Alvotech’s articles of association authorize its board of directors to issue ordinary shares within the limits of the authorized share capital at such times and on such terms as the board of directors or its delegates may decide for a period ending five years after the date of the creation of the authorized share capital or its publication date unless such period is extended, amended or renewed. Accordingly, the board of directors is authorized to issue ordinary shares up to the limits of authorized share capital until such date. Alvotech currently intends to seek renewals and/or extensions as required from time to time.</w:t>
      </w:r>
    </w:p>
    <w:p>
      <w:pPr>
        <w:spacing w:after="0" w:line="19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Neither Luxembourg law nor Alvotech’s articles of association provide for appraisal rights.</w:t>
      </w:r>
    </w:p>
    <w:p>
      <w:pPr>
        <w:sectPr>
          <w:pgSz w:w="11900" w:h="16838" w:orient="portrait"/>
          <w:cols w:equalWidth="0" w:num="2">
            <w:col w:w="7060" w:space="140"/>
            <w:col w:w="4020"/>
          </w:cols>
          <w:pgMar w:left="320" w:top="121" w:right="359" w:bottom="1440" w:gutter="0" w:footer="0" w:header="0"/>
        </w:sectPr>
      </w:pPr>
    </w:p>
    <w:bookmarkStart w:id="67" w:name="page68"/>
    <w:bookmarkEnd w:id="67"/>
    <w:p>
      <w:pPr>
        <w:ind w:left="2820"/>
        <w:spacing w:after="0"/>
        <w:rPr>
          <w:sz w:val="20"/>
          <w:szCs w:val="20"/>
          <w:color w:val="auto"/>
        </w:rPr>
      </w:pPr>
      <w:r>
        <w:rPr>
          <w:rFonts w:ascii="Times New Roman" w:cs="Times New Roman" w:eastAsia="Times New Roman" w:hAnsi="Times New Roman"/>
          <w:sz w:val="18"/>
          <w:szCs w:val="18"/>
          <w:color w:val="auto"/>
        </w:rPr>
        <w:t>consideration he or she would otherwise receive in the</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transaction.</w:t>
      </w:r>
    </w:p>
    <w:p>
      <w:pPr>
        <w:sectPr>
          <w:pgSz w:w="11900" w:h="16838" w:orient="portrait"/>
          <w:cols w:equalWidth="0" w:num="1">
            <w:col w:w="11240"/>
          </w:cols>
          <w:pgMar w:left="320" w:top="121" w:right="339" w:bottom="1440" w:gutter="0" w:footer="0" w:header="0"/>
        </w:sectPr>
      </w:pPr>
    </w:p>
    <w:p>
      <w:pPr>
        <w:spacing w:after="0" w:line="20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SHAREHOLDER CONSENT TO </w:t>
      </w:r>
      <w:r>
        <w:rPr>
          <w:rFonts w:ascii="Times New Roman" w:cs="Times New Roman" w:eastAsia="Times New Roman" w:hAnsi="Times New Roman"/>
          <w:sz w:val="18"/>
          <w:szCs w:val="18"/>
          <w:color w:val="auto"/>
        </w:rPr>
        <w:t>Under the DGCL, unless otherwise provided in a</w:t>
      </w:r>
      <w:r>
        <w:rPr>
          <w:rFonts w:ascii="Times New Roman" w:cs="Times New Roman" w:eastAsia="Times New Roman" w:hAnsi="Times New Roman"/>
          <w:sz w:val="18"/>
          <w:szCs w:val="18"/>
          <w:b w:val="1"/>
          <w:bCs w:val="1"/>
          <w:color w:val="auto"/>
        </w:rPr>
        <w:t xml:space="preserve"> ACTION WITHOUT MEETING </w:t>
      </w:r>
      <w:r>
        <w:rPr>
          <w:rFonts w:ascii="Times New Roman" w:cs="Times New Roman" w:eastAsia="Times New Roman" w:hAnsi="Times New Roman"/>
          <w:sz w:val="18"/>
          <w:szCs w:val="18"/>
          <w:color w:val="auto"/>
        </w:rPr>
        <w:t>corporation’s certificate of incorporation, any action that</w:t>
      </w:r>
    </w:p>
    <w:p>
      <w:pPr>
        <w:spacing w:after="0" w:line="1" w:lineRule="exact"/>
        <w:rPr>
          <w:sz w:val="20"/>
          <w:szCs w:val="20"/>
          <w:color w:val="auto"/>
        </w:rPr>
      </w:pPr>
    </w:p>
    <w:p>
      <w:pPr>
        <w:ind w:left="2820"/>
        <w:spacing w:after="0" w:line="253" w:lineRule="auto"/>
        <w:rPr>
          <w:sz w:val="20"/>
          <w:szCs w:val="20"/>
          <w:color w:val="auto"/>
        </w:rPr>
      </w:pPr>
      <w:r>
        <w:rPr>
          <w:rFonts w:ascii="Times New Roman" w:cs="Times New Roman" w:eastAsia="Times New Roman" w:hAnsi="Times New Roman"/>
          <w:sz w:val="18"/>
          <w:szCs w:val="18"/>
          <w:color w:val="auto"/>
        </w:rPr>
        <w:t>may be taken at a meeting of stockholders may be taken without a meeting, without prior notice, and without a vote if the holders of outstanding stock, having not less than the minimum number of votes that would be necessary to authorize such action, consent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MEETINGS OF</w:t>
      </w:r>
      <w:r>
        <w:rPr>
          <w:sz w:val="20"/>
          <w:szCs w:val="20"/>
          <w:color w:val="auto"/>
        </w:rPr>
        <w:tab/>
      </w:r>
      <w:r>
        <w:rPr>
          <w:rFonts w:ascii="Times New Roman" w:cs="Times New Roman" w:eastAsia="Times New Roman" w:hAnsi="Times New Roman"/>
          <w:sz w:val="18"/>
          <w:szCs w:val="18"/>
          <w:color w:val="auto"/>
        </w:rPr>
        <w:t>Under the DGCL, a special meeting of stockholders may</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SHAREHOLDERS</w:t>
      </w:r>
      <w:r>
        <w:rPr>
          <w:sz w:val="20"/>
          <w:szCs w:val="20"/>
          <w:color w:val="auto"/>
        </w:rPr>
        <w:tab/>
      </w:r>
      <w:r>
        <w:rPr>
          <w:rFonts w:ascii="Times New Roman" w:cs="Times New Roman" w:eastAsia="Times New Roman" w:hAnsi="Times New Roman"/>
          <w:sz w:val="18"/>
          <w:szCs w:val="18"/>
          <w:color w:val="auto"/>
        </w:rPr>
        <w:t>be called by the board of directors or by any other person</w:t>
      </w:r>
    </w:p>
    <w:p>
      <w:pPr>
        <w:spacing w:after="0" w:line="9" w:lineRule="exact"/>
        <w:rPr>
          <w:sz w:val="20"/>
          <w:szCs w:val="20"/>
          <w:color w:val="auto"/>
        </w:rPr>
      </w:pPr>
    </w:p>
    <w:p>
      <w:pPr>
        <w:ind w:left="2820"/>
        <w:spacing w:after="0" w:line="260" w:lineRule="auto"/>
        <w:rPr>
          <w:sz w:val="20"/>
          <w:szCs w:val="20"/>
          <w:color w:val="auto"/>
        </w:rPr>
      </w:pPr>
      <w:r>
        <w:rPr>
          <w:rFonts w:ascii="Times New Roman" w:cs="Times New Roman" w:eastAsia="Times New Roman" w:hAnsi="Times New Roman"/>
          <w:sz w:val="18"/>
          <w:szCs w:val="18"/>
          <w:color w:val="auto"/>
        </w:rPr>
        <w:t>authorized to do so in the certificate of incorporation or the bylaws.</w:t>
      </w:r>
    </w:p>
    <w:p>
      <w:pPr>
        <w:spacing w:after="0" w:line="181" w:lineRule="exact"/>
        <w:rPr>
          <w:sz w:val="20"/>
          <w:szCs w:val="20"/>
          <w:color w:val="auto"/>
        </w:rPr>
      </w:pPr>
    </w:p>
    <w:p>
      <w:pPr>
        <w:ind w:left="2820"/>
        <w:spacing w:after="0" w:line="256" w:lineRule="auto"/>
        <w:rPr>
          <w:sz w:val="20"/>
          <w:szCs w:val="20"/>
          <w:color w:val="auto"/>
        </w:rPr>
      </w:pPr>
      <w:r>
        <w:rPr>
          <w:rFonts w:ascii="Times New Roman" w:cs="Times New Roman" w:eastAsia="Times New Roman" w:hAnsi="Times New Roman"/>
          <w:sz w:val="18"/>
          <w:szCs w:val="18"/>
          <w:color w:val="auto"/>
        </w:rPr>
        <w:t>Under the DGCL, a corporation’s certificate of incorporation or bylaws can specify the number of shares that constitute the quorum required to conduct business at a meeting, provided that in no event shall a quorum consist of less than one-third of the shares entitled to vote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shareholder meeting must always be called if the matter to be considered requires a shareholder resolution under Luxembourg law or Alvotech’s articles of association.</w:t>
      </w:r>
    </w:p>
    <w:p>
      <w:pPr>
        <w:spacing w:after="0" w:line="18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Pursuant to Luxembourg law, shareholders of a public limited liability company may not take actions by written consent. All shareholder actions must be approved at an actual meeting of shareholders held before a notary public or under private seal, depending on the nature of the matter. Shareholders may vote in person, by proxy or, if the articles of association provide for that possibility, by correspondence.</w:t>
      </w:r>
    </w:p>
    <w:p>
      <w:pPr>
        <w:spacing w:after="0" w:line="1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articles of association of Alvotech provide for the possibility of vote by correspondence, via proxy, and conference or videoconference call (to the extent made available by Alvotech).</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Luxembourg law, at least one general meeting of shareholders must be held each year, within six months as from the close of the financial year. The purpose of such annual general meeting is to approve the annual accounts, allocate the results, proceed to statutory appointments and resolve on the discharge of the directors.</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Other general meetings of shareholders may be convened.</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Luxembourg law distinguishes between ordinary resolutions to be adopted and extraordinary resolutions to be adopted by the general meeting of shareholders. Extraordinary resolutions relate to proposed amendments to the articles of association and other limited matters. All other resolutions are ordinary resolutions.</w:t>
      </w:r>
    </w:p>
    <w:p>
      <w:pPr>
        <w:spacing w:after="0" w:line="18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Pursuant to Luxemburg law, there is no requirement of a quorum for any ordinary resolutions to be considered at a general meeting and such ordinary resolutions shall be adopted by a simple majority of votes validly cast on such resolution. Abstentions are not considered “votes.”</w:t>
      </w:r>
    </w:p>
    <w:p>
      <w:pPr>
        <w:spacing w:after="0" w:line="200" w:lineRule="exact"/>
        <w:rPr>
          <w:sz w:val="20"/>
          <w:szCs w:val="20"/>
          <w:color w:val="auto"/>
        </w:rPr>
      </w:pPr>
    </w:p>
    <w:p>
      <w:pPr>
        <w:spacing w:after="0" w:line="20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Extraordinary resolutions are required for any of the following matters, among others: (i) an increase or decrease of the authorized or issued share capital, (ii) a limitation or exclusion of</w:t>
      </w:r>
    </w:p>
    <w:p>
      <w:pPr>
        <w:sectPr>
          <w:pgSz w:w="11900" w:h="16838" w:orient="portrait"/>
          <w:cols w:equalWidth="0" w:num="2">
            <w:col w:w="7080" w:space="120"/>
            <w:col w:w="4040"/>
          </w:cols>
          <w:pgMar w:left="320" w:top="121" w:right="339" w:bottom="1440"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DISTRIBUTIONS AND</w:t>
      </w:r>
      <w:r>
        <w:rPr>
          <w:sz w:val="20"/>
          <w:szCs w:val="20"/>
          <w:color w:val="auto"/>
        </w:rPr>
        <w:tab/>
      </w:r>
      <w:r>
        <w:rPr>
          <w:rFonts w:ascii="Times New Roman" w:cs="Times New Roman" w:eastAsia="Times New Roman" w:hAnsi="Times New Roman"/>
          <w:sz w:val="18"/>
          <w:szCs w:val="18"/>
          <w:color w:val="auto"/>
        </w:rPr>
        <w:t>Under the DGCL, the board of directors, subject to any</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DIVIDENDS; REPURCHASES</w:t>
      </w:r>
      <w:r>
        <w:rPr>
          <w:sz w:val="20"/>
          <w:szCs w:val="20"/>
          <w:color w:val="auto"/>
        </w:rPr>
        <w:tab/>
      </w:r>
      <w:r>
        <w:rPr>
          <w:rFonts w:ascii="Times New Roman" w:cs="Times New Roman" w:eastAsia="Times New Roman" w:hAnsi="Times New Roman"/>
          <w:sz w:val="18"/>
          <w:szCs w:val="18"/>
          <w:color w:val="auto"/>
        </w:rPr>
        <w:t>restrictions in the corporation’s certificate of incorporation,</w:t>
      </w:r>
    </w:p>
    <w:p>
      <w:pPr>
        <w:spacing w:after="0" w:line="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AND REDEMPTIONS</w:t>
      </w:r>
      <w:r>
        <w:rPr>
          <w:sz w:val="20"/>
          <w:szCs w:val="20"/>
          <w:color w:val="auto"/>
        </w:rPr>
        <w:tab/>
      </w:r>
      <w:r>
        <w:rPr>
          <w:rFonts w:ascii="Times New Roman" w:cs="Times New Roman" w:eastAsia="Times New Roman" w:hAnsi="Times New Roman"/>
          <w:sz w:val="18"/>
          <w:szCs w:val="18"/>
          <w:color w:val="auto"/>
        </w:rPr>
        <w:t>may declare and pay dividends out of:</w:t>
      </w:r>
    </w:p>
    <w:p>
      <w:pPr>
        <w:spacing w:after="0" w:line="207" w:lineRule="exact"/>
        <w:rPr>
          <w:sz w:val="20"/>
          <w:szCs w:val="20"/>
          <w:color w:val="auto"/>
        </w:rPr>
      </w:pPr>
    </w:p>
    <w:p>
      <w:pPr>
        <w:ind w:left="2820" w:right="420"/>
        <w:spacing w:after="0" w:line="282" w:lineRule="auto"/>
        <w:rPr>
          <w:sz w:val="20"/>
          <w:szCs w:val="20"/>
          <w:color w:val="auto"/>
        </w:rPr>
      </w:pPr>
      <w:r>
        <w:rPr>
          <w:rFonts w:ascii="Times New Roman" w:cs="Times New Roman" w:eastAsia="Times New Roman" w:hAnsi="Times New Roman"/>
          <w:sz w:val="18"/>
          <w:szCs w:val="18"/>
          <w:color w:val="auto"/>
        </w:rPr>
        <w:t>•   surplus of the corporation, which is defined as net assets less statutory capital; or;</w:t>
      </w:r>
    </w:p>
    <w:p>
      <w:pPr>
        <w:spacing w:after="0" w:line="162" w:lineRule="exact"/>
        <w:rPr>
          <w:sz w:val="20"/>
          <w:szCs w:val="20"/>
          <w:color w:val="auto"/>
        </w:rPr>
      </w:pPr>
    </w:p>
    <w:p>
      <w:pPr>
        <w:ind w:left="2820" w:right="140"/>
        <w:spacing w:after="0" w:line="266" w:lineRule="auto"/>
        <w:rPr>
          <w:sz w:val="20"/>
          <w:szCs w:val="20"/>
          <w:color w:val="auto"/>
        </w:rPr>
      </w:pPr>
      <w:r>
        <w:rPr>
          <w:rFonts w:ascii="Times New Roman" w:cs="Times New Roman" w:eastAsia="Times New Roman" w:hAnsi="Times New Roman"/>
          <w:sz w:val="18"/>
          <w:szCs w:val="18"/>
          <w:color w:val="auto"/>
        </w:rPr>
        <w:t>•   if no surplus exists, out of the net profits of the corporation for the year in which the dividend is declared and/or the preceding year.</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80"/>
        <w:spacing w:after="0" w:line="261" w:lineRule="auto"/>
        <w:rPr>
          <w:sz w:val="20"/>
          <w:szCs w:val="20"/>
          <w:color w:val="auto"/>
        </w:rPr>
      </w:pPr>
      <w:r>
        <w:rPr>
          <w:rFonts w:ascii="Times New Roman" w:cs="Times New Roman" w:eastAsia="Times New Roman" w:hAnsi="Times New Roman"/>
          <w:sz w:val="18"/>
          <w:szCs w:val="18"/>
          <w:color w:val="auto"/>
        </w:rPr>
        <w:t>preferential subscription rights, (iii) approval of a statutory merger or de-merger (scission), (iv) dissolution, (v) an amendment of the articles of association and (vi) change of nationality.</w:t>
      </w:r>
    </w:p>
    <w:p>
      <w:pPr>
        <w:spacing w:after="0" w:line="18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Pursuant to Luxembourg law, for any extraordinary resolutions to be approved at a general meeting, the quorum shall be at least one half (50%) of the issued share capital. If the said quorum is not present, a second meeting may be convened at which Luxembourg law does not prescribe a quorum. Any extraordinary resolution shall be adopted at a quorate general meeting (except as otherwise provided by mandatory law) by a two-thirds majority of the votes cast on such resolution by shareholders. Abstentions are not considered “votes.”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Luxembourg Company Law provides that if, as a result of losses, net assets fall below half of the share capital of the company, the board of directors shall convene an extraordinary general meeting of shareholders so that it is held within a period not exceeding two months from the time at which the loss was or should have been ascertained by them and such meeting shall resolve on the possible dissolution of the company and possibly on other measures announced in the agenda. The board of directors shall, in such situation, draw up a special report which sets out the causes of that situation and justify its proposals made available eight days before the extraordinary general meeting at the registered office. If it proposes to continue to conduct business, it shall set out in the report the measures it intends to take in order to remedy the financial situation of the company. The same rules apply if, as a result of losses, net assets fall below one-quarter of the share capital provided that in such case dissolution shall take place if approved by one-fourth of the votes casts at the extraordinary general meeting.</w:t>
      </w:r>
    </w:p>
    <w:p>
      <w:pPr>
        <w:spacing w:after="0" w:line="1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Luxembourg law, the amount and payment of dividends or other distributions is determined by a simple majority vote at a general shareholders’ meeting based on the recommendation of the board of directors, except in certain limited circumstances. Pursuant to Alvotech’s articles of association, the board of directors has the power to pay interim dividends or make other distributions in accordance with applicable Luxembourg law. Distributions may be lawfully declared and paid if Alvotech’s net profits and/or distributable</w:t>
      </w:r>
    </w:p>
    <w:p>
      <w:pPr>
        <w:sectPr>
          <w:pgSz w:w="11900" w:h="16838" w:orient="portrait"/>
          <w:cols w:equalWidth="0" w:num="2">
            <w:col w:w="7100" w:space="100"/>
            <w:col w:w="4040"/>
          </w:cols>
          <w:pgMar w:left="320" w:top="121" w:right="339" w:bottom="1440" w:gutter="0" w:footer="0" w:header="0"/>
        </w:sectPr>
      </w:pPr>
    </w:p>
    <w:bookmarkStart w:id="69" w:name="page70"/>
    <w:bookmarkEnd w:id="69"/>
    <w:p>
      <w:pPr>
        <w:ind w:left="1700"/>
        <w:spacing w:after="0" w:line="254" w:lineRule="auto"/>
        <w:rPr>
          <w:sz w:val="20"/>
          <w:szCs w:val="20"/>
          <w:color w:val="auto"/>
        </w:rPr>
      </w:pPr>
      <w:r>
        <w:rPr>
          <w:rFonts w:ascii="Times New Roman" w:cs="Times New Roman" w:eastAsia="Times New Roman" w:hAnsi="Times New Roman"/>
          <w:sz w:val="18"/>
          <w:szCs w:val="18"/>
          <w:color w:val="auto"/>
        </w:rPr>
        <w:t>If, however, the capital of the corporation has been diminished by depreciation in the value of its property, or by losses, or otherwise, to an amount less than the aggregate amount of capital represented by the issued and outstanding stock of all classes having a preference upon the distribution of assets, the board of directors shall not declare and pay dividends out of the corporation’s net profits until the deficiency in the capital has been repaired.</w:t>
      </w:r>
    </w:p>
    <w:p>
      <w:pPr>
        <w:spacing w:after="0" w:line="192" w:lineRule="exact"/>
        <w:rPr>
          <w:sz w:val="20"/>
          <w:szCs w:val="20"/>
          <w:color w:val="auto"/>
        </w:rPr>
      </w:pPr>
    </w:p>
    <w:p>
      <w:pPr>
        <w:ind w:left="1700" w:right="60"/>
        <w:spacing w:after="0" w:line="254" w:lineRule="auto"/>
        <w:rPr>
          <w:sz w:val="20"/>
          <w:szCs w:val="20"/>
          <w:color w:val="auto"/>
        </w:rPr>
      </w:pPr>
      <w:r>
        <w:rPr>
          <w:rFonts w:ascii="Times New Roman" w:cs="Times New Roman" w:eastAsia="Times New Roman" w:hAnsi="Times New Roman"/>
          <w:sz w:val="18"/>
          <w:szCs w:val="18"/>
          <w:color w:val="auto"/>
        </w:rPr>
        <w:t>Under the DGCL, any corporation may purchase or redeem its own shares, except that generally it may not purchase or redeem these shares if such repurchase or redemption would impair the capital of the corporation. A corporation may, however, purchase or redeem out of capital any of its own shares which are entitled upon any distribution of its assets to a preference over another class or series of its shares if such shares will be retired and the capital reduced.</w:t>
      </w:r>
    </w:p>
    <w:p>
      <w:pPr>
        <w:spacing w:after="0" w:line="20" w:lineRule="exact"/>
        <w:rPr>
          <w:sz w:val="20"/>
          <w:szCs w:val="20"/>
          <w:color w:val="auto"/>
        </w:rPr>
      </w:pPr>
      <w:r>
        <w:rPr>
          <w:sz w:val="20"/>
          <w:szCs w:val="20"/>
          <w:color w:val="auto"/>
        </w:rPr>
        <w:br w:type="column"/>
      </w:r>
    </w:p>
    <w:p>
      <w:pPr>
        <w:ind w:right="100"/>
        <w:spacing w:after="0" w:line="256" w:lineRule="auto"/>
        <w:rPr>
          <w:sz w:val="20"/>
          <w:szCs w:val="20"/>
          <w:color w:val="auto"/>
        </w:rPr>
      </w:pPr>
      <w:r>
        <w:rPr>
          <w:rFonts w:ascii="Times New Roman" w:cs="Times New Roman" w:eastAsia="Times New Roman" w:hAnsi="Times New Roman"/>
          <w:sz w:val="18"/>
          <w:szCs w:val="18"/>
          <w:color w:val="auto"/>
        </w:rPr>
        <w:t>reserves are sufficient under Luxembourg law. All ordinary shares rank pari passu with respect to the payment of dividends or other distributions unless the right to dividends or other distributions has been suspended in accordance with Alvotech’s articles of association or applicable law.</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Luxembourg law, at least 5% of Alvotech’s net profits per year must be allocated to the creation of a legal reserve until such reserve has reached an amount equal to 10% of Alvotech’s issued share capital. The allocation to the legal reserve becomes compulsory again when the legal reserve no longer represents 10% of Alvotech’s issued share capital. The legal reserve is not available for distribution.</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Luxembourg law, Alvotech (or any party acting on its behalf) may repurchase its own shares and hold them in treasury, provided that:</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 the shareholders at a general meeting have previously authorized the board of directors to acquire its ordinary shares. The general meeting shall determine the terms and conditions of the proposed acquisition and in particular the maximum number of shares to be acquired, the period for which the authorization is given (which may not exceed five years), and, in the case of acquisition for value, the maximum and minimum consideration;</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 the acquisitions, including shares previously acquired by Alvotech and held by it and shares acquired by a person acting in his or her own name but on Alvotech’s behalf, may not have the effect of reducing the net assets below the amount of the issued share capital plus the reserves (which may not be distributed by law or under the articles of association);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shares repurchased are fully paid-up; and</w:t>
      </w:r>
    </w:p>
    <w:p>
      <w:pPr>
        <w:spacing w:after="0" w:line="200" w:lineRule="exact"/>
        <w:rPr>
          <w:sz w:val="20"/>
          <w:szCs w:val="20"/>
          <w:color w:val="auto"/>
        </w:rPr>
      </w:pPr>
    </w:p>
    <w:p>
      <w:pPr>
        <w:sectPr>
          <w:pgSz w:w="11900" w:h="16838" w:orient="portrait"/>
          <w:cols w:equalWidth="0" w:num="2">
            <w:col w:w="5940" w:space="140"/>
            <w:col w:w="3980"/>
          </w:cols>
          <w:pgMar w:left="1440" w:top="121" w:right="399" w:bottom="1440" w:gutter="0" w:footer="0" w:header="0"/>
        </w:sectPr>
      </w:pPr>
    </w:p>
    <w:p>
      <w:pPr>
        <w:spacing w:after="0" w:line="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•    the acquisition offer must be made on the same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terms and conditions to all the shareholders who are in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same position, except for acquisitions which were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unanimously decided by a general meeting at which all</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shareholders were present or represented. In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addition, listed companies may repurchase their own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shares on the stock</w:t>
      </w:r>
    </w:p>
    <w:p>
      <w:pPr>
        <w:spacing w:after="0" w:line="16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type w:val="continuous"/>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NUMBER OF DIRECTORS</w:t>
      </w:r>
      <w:r>
        <w:rPr>
          <w:sz w:val="20"/>
          <w:szCs w:val="20"/>
          <w:color w:val="auto"/>
        </w:rPr>
        <w:tab/>
      </w:r>
      <w:r>
        <w:rPr>
          <w:rFonts w:ascii="Times New Roman" w:cs="Times New Roman" w:eastAsia="Times New Roman" w:hAnsi="Times New Roman"/>
          <w:sz w:val="18"/>
          <w:szCs w:val="18"/>
          <w:color w:val="auto"/>
        </w:rPr>
        <w:t>A typical certificate of incorporation and bylaws would</w:t>
      </w:r>
    </w:p>
    <w:p>
      <w:pPr>
        <w:spacing w:after="0" w:line="31" w:lineRule="exact"/>
        <w:rPr>
          <w:sz w:val="20"/>
          <w:szCs w:val="20"/>
          <w:color w:val="auto"/>
        </w:rPr>
      </w:pPr>
    </w:p>
    <w:p>
      <w:pPr>
        <w:ind w:left="2820"/>
        <w:spacing w:after="0" w:line="255" w:lineRule="auto"/>
        <w:rPr>
          <w:sz w:val="20"/>
          <w:szCs w:val="20"/>
          <w:color w:val="auto"/>
        </w:rPr>
      </w:pPr>
      <w:r>
        <w:rPr>
          <w:rFonts w:ascii="Times New Roman" w:cs="Times New Roman" w:eastAsia="Times New Roman" w:hAnsi="Times New Roman"/>
          <w:sz w:val="18"/>
          <w:szCs w:val="18"/>
          <w:color w:val="auto"/>
        </w:rPr>
        <w:t>provide that the number of directors on the board of directors will be fixed from time to time by a vote of the majority of the authorized directors.</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exchange without an acquisition offer having to be made to Alvotech’s shareholders.</w:t>
      </w:r>
    </w:p>
    <w:p>
      <w:pPr>
        <w:spacing w:after="0" w:line="16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No prior authorization by shareholders is required (i) if the acquisition is made to prevent serious and imminent harm to Alvotech, provided that the board of directors informs the next general meeting of the reasons for and the purpose of the acquisitions made, the number and nominal values or the accounting value of the shares acquired, the proportion of the subscribed capital which they represent, and the consideration paid for them, and</w:t>
      </w:r>
    </w:p>
    <w:p>
      <w:pPr>
        <w:ind w:right="40" w:firstLine="3"/>
        <w:spacing w:after="0" w:line="252" w:lineRule="auto"/>
        <w:tabs>
          <w:tab w:leader="none" w:pos="26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shares acquired by either Alvotech or by a person acting on its behalf with a view to redistributing the shares to its staff or staff of its controlled subsidiaries, provided that the distribution of such shares is made within 12 months from their acquisition.</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Luxembourg law and in accordance with Alvotech’s articles of association, Alvotech’s board of directors must be composed of at least three directors. They are appointed by the general meeting of shareholders by a simple majority of the votes cast. Abstentions are not considered “votes.” Directors may be reelected, but the term of their office may not exceed three years in accordance with Alvotech’s articles of association.</w:t>
      </w:r>
    </w:p>
    <w:p>
      <w:pPr>
        <w:spacing w:after="0" w:line="184" w:lineRule="exact"/>
        <w:rPr>
          <w:sz w:val="20"/>
          <w:szCs w:val="20"/>
          <w:color w:val="auto"/>
        </w:rPr>
      </w:pPr>
    </w:p>
    <w:p>
      <w:pPr>
        <w:sectPr>
          <w:pgSz w:w="11900" w:h="16838" w:orient="portrait"/>
          <w:cols w:equalWidth="0" w:num="2">
            <w:col w:w="6880" w:space="320"/>
            <w:col w:w="4040"/>
          </w:cols>
          <w:pgMar w:left="320" w:top="121" w:right="339" w:bottom="1440" w:gutter="0" w:footer="0" w:header="0"/>
        </w:sect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VACANCIES ON BOARD OF</w:t>
      </w:r>
      <w:r>
        <w:rPr>
          <w:sz w:val="20"/>
          <w:szCs w:val="20"/>
          <w:color w:val="auto"/>
        </w:rPr>
        <w:tab/>
      </w:r>
      <w:r>
        <w:rPr>
          <w:rFonts w:ascii="Times New Roman" w:cs="Times New Roman" w:eastAsia="Times New Roman" w:hAnsi="Times New Roman"/>
          <w:sz w:val="18"/>
          <w:szCs w:val="18"/>
          <w:color w:val="auto"/>
        </w:rPr>
        <w:t>The DGCL provides that vacancies and newly created</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directorships may be filled by a majority of the directors</w:t>
      </w:r>
    </w:p>
    <w:p>
      <w:pPr>
        <w:spacing w:after="0" w:line="9" w:lineRule="exact"/>
        <w:rPr>
          <w:sz w:val="20"/>
          <w:szCs w:val="20"/>
          <w:color w:val="auto"/>
        </w:rPr>
      </w:pPr>
    </w:p>
    <w:p>
      <w:pPr>
        <w:ind w:left="2820"/>
        <w:spacing w:after="0" w:line="252" w:lineRule="auto"/>
        <w:rPr>
          <w:sz w:val="20"/>
          <w:szCs w:val="20"/>
          <w:color w:val="auto"/>
        </w:rPr>
      </w:pPr>
      <w:r>
        <w:rPr>
          <w:rFonts w:ascii="Times New Roman" w:cs="Times New Roman" w:eastAsia="Times New Roman" w:hAnsi="Times New Roman"/>
          <w:sz w:val="18"/>
          <w:szCs w:val="18"/>
          <w:color w:val="auto"/>
        </w:rPr>
        <w:t>then in office (even though less than a quorum) unless (a) otherwise provided in the certificate of incorporation or by-laws of the corporation or (b) the certificate of incorporation directs that a particular class of stock is to elect such director, in which case any other directors elected by such class, or a sole remaining director elected by such class, will fill such vacancy.</w:t>
      </w:r>
    </w:p>
    <w:p>
      <w:pPr>
        <w:spacing w:after="0" w:line="184"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REMOVAL OF DIRECTORS;</w:t>
      </w:r>
      <w:r>
        <w:rPr>
          <w:sz w:val="20"/>
          <w:szCs w:val="20"/>
          <w:color w:val="auto"/>
        </w:rPr>
        <w:tab/>
      </w:r>
      <w:r>
        <w:rPr>
          <w:rFonts w:ascii="Times New Roman" w:cs="Times New Roman" w:eastAsia="Times New Roman" w:hAnsi="Times New Roman"/>
          <w:sz w:val="18"/>
          <w:szCs w:val="18"/>
          <w:color w:val="auto"/>
        </w:rPr>
        <w:t>Under Delaware law, a board of directors can be divided</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STAGGERED TERM OF</w:t>
      </w:r>
      <w:r>
        <w:rPr>
          <w:sz w:val="20"/>
          <w:szCs w:val="20"/>
          <w:color w:val="auto"/>
        </w:rPr>
        <w:tab/>
      </w:r>
      <w:r>
        <w:rPr>
          <w:rFonts w:ascii="Times New Roman" w:cs="Times New Roman" w:eastAsia="Times New Roman" w:hAnsi="Times New Roman"/>
          <w:sz w:val="18"/>
          <w:szCs w:val="18"/>
          <w:color w:val="auto"/>
        </w:rPr>
        <w:t>into classes. The board of directors is divided into three</w:t>
      </w:r>
    </w:p>
    <w:p>
      <w:pPr>
        <w:spacing w:after="0" w:line="9"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classes, with only one class of directors being elected in</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each year and each class serving a three-year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Alvotech’s articles of association provide that in case of a vacancy the remaining members of the board of directors may elect a director to fill the vacancy, on a temporary basis and for a period of time not exceeding the initial mandate of the replaced member of the board of directors, until the next general meeting of shareholders, which shall resolve on the permanent appointment in compliance with the applicable legal provisions and the articles of association.</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Luxembourg law, a director may be removed at any time by the general meeting of shareholders by a simple majority of the votes cast, with or without cause.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Alvotech’s articles of association provides that the duration of the mandate of the directors will not exceed three (3) years. Directors of Alvotech may be reappointed for successive terms.</w:t>
      </w:r>
    </w:p>
    <w:p>
      <w:pPr>
        <w:sectPr>
          <w:pgSz w:w="11900" w:h="16838" w:orient="portrait"/>
          <w:cols w:equalWidth="0" w:num="2">
            <w:col w:w="6980" w:space="220"/>
            <w:col w:w="4040"/>
          </w:cols>
          <w:pgMar w:left="320" w:top="121" w:right="339" w:bottom="1440" w:gutter="0" w:footer="0" w:header="0"/>
          <w:type w:val="continuous"/>
        </w:sectPr>
      </w:pPr>
    </w:p>
    <w:bookmarkStart w:id="71" w:name="page72"/>
    <w:bookmarkEnd w:id="71"/>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CUMULATIVE VOTING</w:t>
      </w:r>
      <w:r>
        <w:rPr>
          <w:sz w:val="20"/>
          <w:szCs w:val="20"/>
          <w:color w:val="auto"/>
        </w:rPr>
        <w:tab/>
      </w:r>
      <w:r>
        <w:rPr>
          <w:rFonts w:ascii="Times New Roman" w:cs="Times New Roman" w:eastAsia="Times New Roman" w:hAnsi="Times New Roman"/>
          <w:sz w:val="18"/>
          <w:szCs w:val="18"/>
          <w:color w:val="auto"/>
        </w:rPr>
        <w:t>Under the DGCL, a corporation may adopt in its certificate  Not applicable.</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of incorporation that its directors shall be elected by</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cumulative voting. When directors are elected by</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cumulative voting, a stockholder has a number of votes</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equal to the number of shares held by such stockholder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multiplied by the number of directors nominated for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election. The stockholder may cast all of such votes for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one director or among the directors in any proportion.</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AMENDMENT OF GOVERNING  </w:t>
      </w:r>
      <w:r>
        <w:rPr>
          <w:rFonts w:ascii="Times New Roman" w:cs="Times New Roman" w:eastAsia="Times New Roman" w:hAnsi="Times New Roman"/>
          <w:sz w:val="18"/>
          <w:szCs w:val="18"/>
          <w:color w:val="auto"/>
        </w:rPr>
        <w:t>Under the DGCL, a certificate of incorporation may be</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DOCUMENTS</w:t>
      </w:r>
      <w:r>
        <w:rPr>
          <w:sz w:val="20"/>
          <w:szCs w:val="20"/>
          <w:color w:val="auto"/>
        </w:rPr>
        <w:tab/>
      </w:r>
      <w:r>
        <w:rPr>
          <w:rFonts w:ascii="Times New Roman" w:cs="Times New Roman" w:eastAsia="Times New Roman" w:hAnsi="Times New Roman"/>
          <w:sz w:val="18"/>
          <w:szCs w:val="18"/>
          <w:color w:val="auto"/>
        </w:rPr>
        <w:t>amended if:</w:t>
      </w:r>
    </w:p>
    <w:p>
      <w:pPr>
        <w:spacing w:after="0" w:line="207" w:lineRule="exact"/>
        <w:rPr>
          <w:sz w:val="20"/>
          <w:szCs w:val="20"/>
          <w:color w:val="auto"/>
        </w:rPr>
      </w:pPr>
    </w:p>
    <w:p>
      <w:pPr>
        <w:ind w:left="2820" w:right="40" w:firstLine="324"/>
        <w:spacing w:after="0" w:line="261" w:lineRule="auto"/>
        <w:rPr>
          <w:sz w:val="20"/>
          <w:szCs w:val="20"/>
          <w:color w:val="auto"/>
        </w:rPr>
      </w:pPr>
      <w:r>
        <w:rPr>
          <w:rFonts w:ascii="Times New Roman" w:cs="Times New Roman" w:eastAsia="Times New Roman" w:hAnsi="Times New Roman"/>
          <w:sz w:val="18"/>
          <w:szCs w:val="18"/>
          <w:color w:val="auto"/>
        </w:rPr>
        <w:t>•   the board of directors sets forth the proposed amendment in a resolution, declares the advisability of the amendment and directs that it be submitted to a vote at a meeting of stockholders; and</w:t>
      </w:r>
    </w:p>
    <w:p>
      <w:pPr>
        <w:spacing w:after="0" w:line="180" w:lineRule="exact"/>
        <w:rPr>
          <w:sz w:val="20"/>
          <w:szCs w:val="20"/>
          <w:color w:val="auto"/>
        </w:rPr>
      </w:pPr>
    </w:p>
    <w:p>
      <w:pPr>
        <w:ind w:left="2820" w:firstLine="324"/>
        <w:spacing w:after="0" w:line="261" w:lineRule="auto"/>
        <w:rPr>
          <w:sz w:val="20"/>
          <w:szCs w:val="20"/>
          <w:color w:val="auto"/>
        </w:rPr>
      </w:pPr>
      <w:r>
        <w:rPr>
          <w:rFonts w:ascii="Times New Roman" w:cs="Times New Roman" w:eastAsia="Times New Roman" w:hAnsi="Times New Roman"/>
          <w:sz w:val="18"/>
          <w:szCs w:val="18"/>
          <w:color w:val="auto"/>
        </w:rPr>
        <w:t>•   the holders of at least a majority of shares of stock entitled to vote on the matter approve the amendment, unless the certificate of incorporation requires the vote of a greater number of shares.</w:t>
      </w:r>
    </w:p>
    <w:p>
      <w:pPr>
        <w:spacing w:after="0" w:line="180" w:lineRule="exact"/>
        <w:rPr>
          <w:sz w:val="20"/>
          <w:szCs w:val="20"/>
          <w:color w:val="auto"/>
        </w:rPr>
      </w:pPr>
    </w:p>
    <w:p>
      <w:pPr>
        <w:ind w:left="2820" w:right="20"/>
        <w:spacing w:after="0" w:line="254" w:lineRule="auto"/>
        <w:rPr>
          <w:sz w:val="20"/>
          <w:szCs w:val="20"/>
          <w:color w:val="auto"/>
        </w:rPr>
      </w:pPr>
      <w:r>
        <w:rPr>
          <w:rFonts w:ascii="Times New Roman" w:cs="Times New Roman" w:eastAsia="Times New Roman" w:hAnsi="Times New Roman"/>
          <w:sz w:val="18"/>
          <w:szCs w:val="18"/>
          <w:color w:val="auto"/>
        </w:rPr>
        <w:t>In addition, under the DGCL, class voting rights exist with respect to amendments to the charter that adversely affect the terms of the shares of a class. Class voting rights do not exist as to other extraordinary matters, unless the charter provides otherwise. Under the DGCL, the board of directors may amend a corporation’s bylaws if so authorized in the charter. The stockholders of a Delaware corporation also have the power to amend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Luxembourg law, amendments to Alvotech’s articles of association require an extraordinary general meeting of shareholders held in front of a Luxembourg notary at which at least one half (50%) of the share capital is present or represented.</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notice of the extraordinary general meeting shall set out the proposed amendments to the articles of association.</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the aforementioned quorum is not reached, a second meeting may be convened by means of a notice published in the Luxembourg official electronic gazette (RESA) and in a Luxembourg newspaper. The second meeting shall be validly constituted regardless of the proportion of the share capital present or represented.</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both meetings, resolutions will be adopted if approved by at least two-thirds of the votes cast by shareholders (unless otherwise required by Luxembourg law or the articles of association). Where different classes of shares exist and the resolution to be adopted by the general meeting of shareholders changes the respective rights attaching to such shares, the resolution will be adopted only if the conditions as to quorum and majority set out above are fulfilled with respect to each class of shares.</w:t>
      </w:r>
    </w:p>
    <w:p>
      <w:pPr>
        <w:spacing w:after="0" w:line="194"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An increase of the commitments of the shareholders requires the unanimous consent of the shareholders.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Alvotech’s articles of association and the Luxembourg Company Law provide that for any extraordinary resolutions to be considered at a general meeting, the quorum shall be at least one-half of Alvotech’s issued share capital. If the said quorum is not present, a second meeting may be convened at which Luxembourg law does not prescribe a quorum. Any extraordinary resolution shall be adopted</w:t>
      </w:r>
    </w:p>
    <w:p>
      <w:pPr>
        <w:sectPr>
          <w:pgSz w:w="11900" w:h="16838" w:orient="portrait"/>
          <w:cols w:equalWidth="0" w:num="2">
            <w:col w:w="7080" w:space="120"/>
            <w:col w:w="4040"/>
          </w:cols>
          <w:pgMar w:left="320" w:top="117" w:right="339" w:bottom="144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INDEMNIFICATION OF</w:t>
            </w: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DGCL generally permits a corporation to indemnify</w:t>
            </w:r>
          </w:p>
        </w:tc>
      </w:tr>
      <w:tr>
        <w:trPr>
          <w:trHeight w:val="220"/>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OFFICERS</w:t>
            </w: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its directors and officers against expenses, judgments,</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fines and amounts paid in settlement actually and</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reasonably incurred in connection with a third-party</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action, other than a derivative action, and against expenses</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actually and reasonably incurred in the defense or</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 of a derivative action, provided that there is a</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determination made by the corporation that the individual</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acted in good faith and in a manner reasonably believed to</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 in or not opposed to the best interests of the</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corporation. Such determination shall be made, in the case</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an individual who is a director or officer at the time of</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determination:</w:t>
            </w:r>
          </w:p>
        </w:tc>
      </w:tr>
      <w:tr>
        <w:trPr>
          <w:trHeight w:val="414"/>
        </w:trPr>
        <w:tc>
          <w:tcPr>
            <w:tcW w:w="264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 by a majority of the disinterested directors, even</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though less than a quorum;</w:t>
            </w:r>
          </w:p>
        </w:tc>
      </w:tr>
      <w:tr>
        <w:trPr>
          <w:trHeight w:val="414"/>
        </w:trPr>
        <w:tc>
          <w:tcPr>
            <w:tcW w:w="264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 by a committee of disinterested directors designated by</w:t>
            </w:r>
          </w:p>
        </w:tc>
      </w:tr>
      <w:tr>
        <w:trPr>
          <w:trHeight w:val="216"/>
        </w:trPr>
        <w:tc>
          <w:tcPr>
            <w:tcW w:w="26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a majority vote of disinterested, directors, even though less</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than a quorum;</w:t>
            </w:r>
          </w:p>
        </w:tc>
      </w:tr>
      <w:tr>
        <w:trPr>
          <w:trHeight w:val="414"/>
        </w:trPr>
        <w:tc>
          <w:tcPr>
            <w:tcW w:w="264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 by independent legal counsel, regardless of whether a</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quorum of disinterested directors exists; or</w:t>
            </w:r>
          </w:p>
        </w:tc>
      </w:tr>
      <w:tr>
        <w:trPr>
          <w:trHeight w:val="432"/>
        </w:trPr>
        <w:tc>
          <w:tcPr>
            <w:tcW w:w="264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73"/>
              </w:rPr>
              <w:t>• </w:t>
            </w:r>
          </w:p>
        </w:tc>
        <w:tc>
          <w:tcPr>
            <w:tcW w:w="4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 by the stockholders.</w:t>
            </w:r>
          </w:p>
        </w:tc>
      </w:tr>
      <w:tr>
        <w:trPr>
          <w:trHeight w:val="414"/>
        </w:trPr>
        <w:tc>
          <w:tcPr>
            <w:tcW w:w="2640" w:type="dxa"/>
            <w:vAlign w:val="bottom"/>
          </w:tcPr>
          <w:p>
            <w:pPr>
              <w:spacing w:after="0"/>
              <w:rPr>
                <w:sz w:val="24"/>
                <w:szCs w:val="24"/>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Without court approval, however, no indemnification may</w:t>
            </w:r>
          </w:p>
        </w:tc>
      </w:tr>
      <w:tr>
        <w:trPr>
          <w:trHeight w:val="234"/>
        </w:trPr>
        <w:tc>
          <w:tcPr>
            <w:tcW w:w="2640" w:type="dxa"/>
            <w:vAlign w:val="bottom"/>
          </w:tcPr>
          <w:p>
            <w:pPr>
              <w:spacing w:after="0"/>
              <w:rPr>
                <w:sz w:val="20"/>
                <w:szCs w:val="20"/>
                <w:color w:val="auto"/>
              </w:rPr>
            </w:pPr>
          </w:p>
        </w:tc>
        <w:tc>
          <w:tcPr>
            <w:tcW w:w="4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 made in respect of any</w:t>
            </w:r>
          </w:p>
        </w:tc>
      </w:tr>
      <w:tr>
        <w:trPr>
          <w:trHeight w:val="823"/>
        </w:trPr>
        <w:tc>
          <w:tcPr>
            <w:tcW w:w="2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at a quorate general meeting (save as otherwise provided by mandatory law) by a two-thirds majority of the votes cast on such resolution by shareholders. Abstentions are not considered “votes.”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very limited circumstances, the board of directors may be authorized by the shareholders to amend the articles of association, albeit always within the limits set forth by the shareholders at a duly convened shareholders’ meeting. This is the case in the context of Alvotech’s authorized share capital within which the board of directors is authorized to issue further ordinary shares. The board of directors is then authorized to appear in front of a Luxembourg notary to record the capital increase and to amend the share capital set forth in the articles of association. The above also applies in case of the transfer of Alvotech’s registered office outside the current municipality.</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Luxembourg law permits Alvotech to keep directors indemnified against any expenses, judgments, fines and amounts paid in connection with liability of a director towards Alvotech or a third party for management errors i.e., for wrongful acts committed during the execution of the mandate (</w:t>
      </w:r>
      <w:r>
        <w:rPr>
          <w:rFonts w:ascii="Times New Roman" w:cs="Times New Roman" w:eastAsia="Times New Roman" w:hAnsi="Times New Roman"/>
          <w:sz w:val="18"/>
          <w:szCs w:val="18"/>
          <w:i w:val="1"/>
          <w:iCs w:val="1"/>
          <w:color w:val="auto"/>
        </w:rPr>
        <w:t>mandat</w:t>
      </w:r>
      <w:r>
        <w:rPr>
          <w:rFonts w:ascii="Times New Roman" w:cs="Times New Roman" w:eastAsia="Times New Roman" w:hAnsi="Times New Roman"/>
          <w:sz w:val="18"/>
          <w:szCs w:val="18"/>
          <w:color w:val="auto"/>
        </w:rPr>
        <w:t>) granted to the director by Alvotech, except in connection with willful misfeasance, bad faith, gross negligence or reckless disregard of the duties involved in the conduct of his or her office.</w:t>
      </w:r>
    </w:p>
    <w:p>
      <w:pPr>
        <w:spacing w:after="0" w:line="194"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Under the articles of association of the company, the members of the board of directors, officers, employees and agents of Alvotech are not held personally liable for the indebtedness or other obligations of Alvotech. As agents of Alvotech, they are responsible for the performance of their duties. Subject to the exceptions and limitations listed in the articles of association of Alvotech and mandatory provisions of law, every person who is, or has been, a member of the board of directors, officer (</w:t>
      </w:r>
      <w:r>
        <w:rPr>
          <w:rFonts w:ascii="Times New Roman" w:cs="Times New Roman" w:eastAsia="Times New Roman" w:hAnsi="Times New Roman"/>
          <w:sz w:val="18"/>
          <w:szCs w:val="18"/>
          <w:i w:val="1"/>
          <w:iCs w:val="1"/>
          <w:color w:val="auto"/>
        </w:rPr>
        <w:t>mandataire</w:t>
      </w:r>
      <w:r>
        <w:rPr>
          <w:rFonts w:ascii="Times New Roman" w:cs="Times New Roman" w:eastAsia="Times New Roman" w:hAnsi="Times New Roman"/>
          <w:sz w:val="18"/>
          <w:szCs w:val="18"/>
          <w:color w:val="auto"/>
        </w:rPr>
        <w:t>) or agent of Alvotech (and any other persons to which applicable law permits Alvotech to provide indemnification, including any person who is or was a director or officer of Alvotech, is or was serving at the request of Alvotech as a director, officer (</w:t>
      </w:r>
      <w:r>
        <w:rPr>
          <w:rFonts w:ascii="Times New Roman" w:cs="Times New Roman" w:eastAsia="Times New Roman" w:hAnsi="Times New Roman"/>
          <w:sz w:val="18"/>
          <w:szCs w:val="18"/>
          <w:i w:val="1"/>
          <w:iCs w:val="1"/>
          <w:color w:val="auto"/>
        </w:rPr>
        <w:t>mandataire</w:t>
      </w:r>
      <w:r>
        <w:rPr>
          <w:rFonts w:ascii="Times New Roman" w:cs="Times New Roman" w:eastAsia="Times New Roman" w:hAnsi="Times New Roman"/>
          <w:sz w:val="18"/>
          <w:szCs w:val="18"/>
          <w:color w:val="auto"/>
        </w:rPr>
        <w:t>), employee or agent of another company, partnership, joint venture, trust or other enterprise or employee benefit plan) (collectively, the “Covered Persons”), shall be</w:t>
      </w:r>
    </w:p>
    <w:p>
      <w:pPr>
        <w:sectPr>
          <w:pgSz w:w="11900" w:h="16838" w:orient="portrait"/>
          <w:cols w:equalWidth="0" w:num="2">
            <w:col w:w="7080" w:space="120"/>
            <w:col w:w="4040"/>
          </w:cols>
          <w:pgMar w:left="320" w:top="121" w:right="339" w:bottom="1440" w:gutter="0" w:footer="0" w:header="0"/>
        </w:sectPr>
      </w:pPr>
    </w:p>
    <w:bookmarkStart w:id="73" w:name="page74"/>
    <w:bookmarkEnd w:id="73"/>
    <w:p>
      <w:pPr>
        <w:ind w:left="1700" w:right="80"/>
        <w:spacing w:after="0" w:line="282" w:lineRule="auto"/>
        <w:rPr>
          <w:sz w:val="20"/>
          <w:szCs w:val="20"/>
          <w:color w:val="auto"/>
        </w:rPr>
      </w:pPr>
      <w:r>
        <w:rPr>
          <w:rFonts w:ascii="Times New Roman" w:cs="Times New Roman" w:eastAsia="Times New Roman" w:hAnsi="Times New Roman"/>
          <w:sz w:val="18"/>
          <w:szCs w:val="18"/>
          <w:color w:val="auto"/>
        </w:rPr>
        <w:t>derivative action in which an individual is adjudged liable to the corporation.</w:t>
      </w:r>
    </w:p>
    <w:p>
      <w:pPr>
        <w:spacing w:after="0" w:line="162" w:lineRule="exact"/>
        <w:rPr>
          <w:sz w:val="20"/>
          <w:szCs w:val="20"/>
          <w:color w:val="auto"/>
        </w:rPr>
      </w:pPr>
    </w:p>
    <w:p>
      <w:pPr>
        <w:ind w:left="1700"/>
        <w:spacing w:after="0" w:line="254" w:lineRule="auto"/>
        <w:rPr>
          <w:sz w:val="20"/>
          <w:szCs w:val="20"/>
          <w:color w:val="auto"/>
        </w:rPr>
      </w:pPr>
      <w:r>
        <w:rPr>
          <w:rFonts w:ascii="Times New Roman" w:cs="Times New Roman" w:eastAsia="Times New Roman" w:hAnsi="Times New Roman"/>
          <w:sz w:val="18"/>
          <w:szCs w:val="18"/>
          <w:color w:val="auto"/>
        </w:rPr>
        <w:t>The DGCL requires indemnification of directors and officers for expenses relating to a successful defense on the merits or otherwise of a derivative or third-party action. The DGCL permits a corporation to advance expenses relating to the defense of any proceeding to directors and officers contingent upon those individuals’ commitment to repay any advances, unless it is determined ultimately that those individuals are entitled to be indemnified.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Times New Roman" w:cs="Times New Roman" w:eastAsia="Times New Roman" w:hAnsi="Times New Roman"/>
          <w:sz w:val="18"/>
          <w:szCs w:val="18"/>
          <w:color w:val="auto"/>
        </w:rPr>
        <w:t>indemnified by Alvotech to the fullest extent permitted by law against liability and against all expenses reasonably incurred or paid by them in connection with any claim, action, suit or proceeding which they become involved as a party or otherwise by virtue of his or her being or having been a Covered Person and against amounts paid or incurred by him or her in the settlement thereof. If applicable law is amended after approval of the current articles of association of Alvotech to authorize corporate action further eliminating or limiting the personal liability of Covered Persons, then the liability of a Covered Person to Alvotech shall be eliminated or limited to the fullest extent permitted by applicable law as so amended. The words “claim”, “action”, “suit” or “proceeding” shall apply to all claims, actions, suits or proceedings (civil, criminal or otherwise including appeals) actual or threatened and the words “liability” and “expenses” shall include without limitation attorneys’ fees, costs, judgments, amounts paid in settlement and other liabilities.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Expenses (including attorneys’ fees) incurred by a Covered Person in defending any claim (save for fraud, negligence or willful misconduct’s claims) shall be paid by Alvotech in advance of the final disposition of such claim upon receipt of an undertaking by or on behalf of such Covered Person to repay such amount if it shall ultimately be determined that such person is not entitled to be indemnified by Alvotech as authorized in Alvotech’s articles of association. Such expenses (including attorneys’ fees) incurred by former Covered Persons may be so paid upon such terms and conditions, if any, as Alvotech deems appropriate.</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Alvotech’s articles of association shall not be deemed exclusive of any other rights to which those seeking indemnification or advancement of expenses may be entitled under this present articles of association, agreement, vote of shareholders or disinterested directors or otherwise, both as to action in such person’s official capacity and as to action in another capacity while holding such office, it being the policy of Alvotech that indemnification of the persons specified in Alvotech’s articles of</w:t>
      </w:r>
    </w:p>
    <w:p>
      <w:pPr>
        <w:sectPr>
          <w:pgSz w:w="11900" w:h="16838" w:orient="portrait"/>
          <w:cols w:equalWidth="0" w:num="2">
            <w:col w:w="5960" w:space="120"/>
            <w:col w:w="4020"/>
          </w:cols>
          <w:pgMar w:left="1440" w:top="121" w:right="35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LIMITED LIABILITY OF</w:t>
      </w:r>
      <w:r>
        <w:rPr>
          <w:sz w:val="20"/>
          <w:szCs w:val="20"/>
          <w:color w:val="auto"/>
        </w:rPr>
        <w:tab/>
      </w:r>
      <w:r>
        <w:rPr>
          <w:rFonts w:ascii="Times New Roman" w:cs="Times New Roman" w:eastAsia="Times New Roman" w:hAnsi="Times New Roman"/>
          <w:sz w:val="18"/>
          <w:szCs w:val="18"/>
          <w:color w:val="auto"/>
        </w:rPr>
        <w:t>Delaware law permits limiting or eliminating the monetary</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liability of a director to a corporation or its stockholders,</w:t>
      </w:r>
    </w:p>
    <w:p>
      <w:pPr>
        <w:spacing w:after="0" w:line="9" w:lineRule="exact"/>
        <w:rPr>
          <w:sz w:val="20"/>
          <w:szCs w:val="20"/>
          <w:color w:val="auto"/>
        </w:rPr>
      </w:pPr>
    </w:p>
    <w:p>
      <w:pPr>
        <w:ind w:left="2820"/>
        <w:spacing w:after="0" w:line="255" w:lineRule="auto"/>
        <w:rPr>
          <w:sz w:val="20"/>
          <w:szCs w:val="20"/>
          <w:color w:val="auto"/>
        </w:rPr>
      </w:pPr>
      <w:r>
        <w:rPr>
          <w:rFonts w:ascii="Times New Roman" w:cs="Times New Roman" w:eastAsia="Times New Roman" w:hAnsi="Times New Roman"/>
          <w:sz w:val="18"/>
          <w:szCs w:val="18"/>
          <w:color w:val="auto"/>
        </w:rPr>
        <w:t>except with regard to breaches of duty of loyalty, intentional misconduct, unlawful repurchases or dividends, or improper personal benefit.</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association shall be made to the fullest extent permitted by law.</w:t>
      </w:r>
    </w:p>
    <w:p>
      <w:pPr>
        <w:spacing w:after="0" w:line="162"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No indemnification shall be provided to any Covered Person (i) against any liability by reason of willful misfeasance, bad faith, gross negligence or reckless disregard of the duties involved in the conduct of his or her office (ii) with respect to any matter as to which he or she shall have been finally adjudicated to have acted in bad faith and not in the interest of Alvotech or (iii) in the event of a settlement, unless the settlement has been approved by a court of competent jurisdiction or by the board of directors. The termination of any claim, or upon a plea of nolo contendere or its equivalent, shall not, of itself, create a presumption that the person did not act in good faith and in a manner which such person reasonably believed to be in or not opposed to the best interests of Alvotech, and, with respect to any claim, had reasonable cause to believe that such person’s conduct was unlawful. The right of indemnification set out above shall be severable, shall not affect any other rights to which any Covered Person may now or hereafter be entitled, shall continue as to a person who has ceased to be such Covered Person and shall inure to the benefit of the heirs, executors and administrators of such a person. Nothing contained herein shall affect or limit any rights to indemnification to which corporate personnel, including Covered Persons, may be entitled by contract or otherwise under law. Alvotech shall specifically be entitled to provide contractual indemnification to and may purchase and maintain insurance for any corporate personnel, including Covered Persons, as Alvotech may decide upon from time to time.</w:t>
      </w:r>
    </w:p>
    <w:p>
      <w:pPr>
        <w:spacing w:after="0" w:line="20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obligations of Alvotech under Alvotech’s articles of association only apply to Covered Persons in their capacity as Covered Persons.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Luxembourg law does not provide for an ex ante limitation of liability but it permits Alvotech to keep directors indemnified as set out above.</w:t>
      </w:r>
    </w:p>
    <w:p>
      <w:pPr>
        <w:spacing w:after="0" w:line="603" w:lineRule="exact"/>
        <w:rPr>
          <w:sz w:val="20"/>
          <w:szCs w:val="20"/>
          <w:color w:val="auto"/>
        </w:rPr>
      </w:pPr>
    </w:p>
    <w:p>
      <w:pPr>
        <w:sectPr>
          <w:pgSz w:w="11900" w:h="16838" w:orient="portrait"/>
          <w:cols w:equalWidth="0" w:num="2">
            <w:col w:w="7080" w:space="120"/>
            <w:col w:w="4040"/>
          </w:cols>
          <w:pgMar w:left="320" w:top="121" w:right="339" w:bottom="1440" w:gutter="0" w:footer="0" w:header="0"/>
        </w:sect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ADVANCE NOTIFICATION</w:t>
      </w:r>
      <w:r>
        <w:rPr>
          <w:sz w:val="20"/>
          <w:szCs w:val="20"/>
          <w:color w:val="auto"/>
        </w:rPr>
        <w:tab/>
      </w:r>
      <w:r>
        <w:rPr>
          <w:rFonts w:ascii="Times New Roman" w:cs="Times New Roman" w:eastAsia="Times New Roman" w:hAnsi="Times New Roman"/>
          <w:sz w:val="18"/>
          <w:szCs w:val="18"/>
          <w:color w:val="auto"/>
        </w:rPr>
        <w:t>Delaware corporations typically have provisions in their</w:t>
      </w:r>
    </w:p>
    <w:p>
      <w:pPr>
        <w:spacing w:after="0" w:line="31" w:lineRule="exact"/>
        <w:rPr>
          <w:sz w:val="20"/>
          <w:szCs w:val="20"/>
          <w:color w:val="auto"/>
        </w:rPr>
      </w:pPr>
    </w:p>
    <w:p>
      <w:pPr>
        <w:ind w:left="2820" w:hanging="2820"/>
        <w:spacing w:after="0" w:line="260" w:lineRule="auto"/>
        <w:tabs>
          <w:tab w:leader="none" w:pos="2800" w:val="left"/>
        </w:tabs>
        <w:rPr>
          <w:sz w:val="20"/>
          <w:szCs w:val="20"/>
          <w:color w:val="auto"/>
        </w:rPr>
      </w:pPr>
      <w:r>
        <w:rPr>
          <w:rFonts w:ascii="Times New Roman" w:cs="Times New Roman" w:eastAsia="Times New Roman" w:hAnsi="Times New Roman"/>
          <w:sz w:val="18"/>
          <w:szCs w:val="18"/>
          <w:b w:val="1"/>
          <w:bCs w:val="1"/>
          <w:color w:val="auto"/>
        </w:rPr>
        <w:t>REQUIREMENTS FOR</w:t>
      </w:r>
      <w:r>
        <w:rPr>
          <w:sz w:val="20"/>
          <w:szCs w:val="20"/>
          <w:color w:val="auto"/>
        </w:rPr>
        <w:tab/>
      </w:r>
      <w:r>
        <w:rPr>
          <w:rFonts w:ascii="Times New Roman" w:cs="Times New Roman" w:eastAsia="Times New Roman" w:hAnsi="Times New Roman"/>
          <w:sz w:val="18"/>
          <w:szCs w:val="18"/>
          <w:color w:val="auto"/>
        </w:rPr>
        <w:t>bylaws that require a stockholder proposing a nominee for election to the board of directors or other proposals at</w:t>
      </w:r>
    </w:p>
    <w:p>
      <w:pPr>
        <w:spacing w:after="0" w:line="3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One or several shareholders holding at least 10% of the share capital may request the addition of one or several items on the agenda of a general meeting. Such request must be</w:t>
      </w:r>
    </w:p>
    <w:p>
      <w:pPr>
        <w:sectPr>
          <w:pgSz w:w="11900" w:h="16838" w:orient="portrait"/>
          <w:cols w:equalWidth="0" w:num="2">
            <w:col w:w="7020" w:space="180"/>
            <w:col w:w="4040"/>
          </w:cols>
          <w:pgMar w:left="320" w:top="121" w:right="339" w:bottom="1440" w:gutter="0" w:footer="0" w:header="0"/>
          <w:type w:val="continuous"/>
        </w:sectPr>
      </w:pPr>
    </w:p>
    <w:bookmarkStart w:id="75" w:name="page76"/>
    <w:bookmarkEnd w:id="75"/>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PROPOSALS OF</w:t>
      </w:r>
      <w:r>
        <w:rPr>
          <w:sz w:val="20"/>
          <w:szCs w:val="20"/>
          <w:color w:val="auto"/>
        </w:rPr>
        <w:tab/>
      </w:r>
      <w:r>
        <w:rPr>
          <w:rFonts w:ascii="Times New Roman" w:cs="Times New Roman" w:eastAsia="Times New Roman" w:hAnsi="Times New Roman"/>
          <w:sz w:val="18"/>
          <w:szCs w:val="18"/>
          <w:color w:val="auto"/>
        </w:rPr>
        <w:t>an annual or special meeting of the stockholders to provide</w:t>
      </w:r>
    </w:p>
    <w:p>
      <w:pPr>
        <w:spacing w:after="0" w:line="3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SHAREHOLDERS</w:t>
      </w:r>
      <w:r>
        <w:rPr>
          <w:sz w:val="20"/>
          <w:szCs w:val="20"/>
          <w:color w:val="auto"/>
        </w:rPr>
        <w:tab/>
      </w:r>
      <w:r>
        <w:rPr>
          <w:rFonts w:ascii="Times New Roman" w:cs="Times New Roman" w:eastAsia="Times New Roman" w:hAnsi="Times New Roman"/>
          <w:sz w:val="18"/>
          <w:szCs w:val="18"/>
          <w:color w:val="auto"/>
        </w:rPr>
        <w:t>notice of any such proposals to the secretary of the</w:t>
      </w:r>
    </w:p>
    <w:p>
      <w:pPr>
        <w:spacing w:after="0" w:line="9" w:lineRule="exact"/>
        <w:rPr>
          <w:sz w:val="20"/>
          <w:szCs w:val="20"/>
          <w:color w:val="auto"/>
        </w:rPr>
      </w:pPr>
    </w:p>
    <w:p>
      <w:pPr>
        <w:ind w:left="2820" w:right="40"/>
        <w:spacing w:after="0" w:line="251" w:lineRule="auto"/>
        <w:rPr>
          <w:sz w:val="20"/>
          <w:szCs w:val="20"/>
          <w:color w:val="auto"/>
        </w:rPr>
      </w:pPr>
      <w:r>
        <w:rPr>
          <w:rFonts w:ascii="Times New Roman" w:cs="Times New Roman" w:eastAsia="Times New Roman" w:hAnsi="Times New Roman"/>
          <w:sz w:val="18"/>
          <w:szCs w:val="18"/>
          <w:color w:val="auto"/>
        </w:rPr>
        <w:t>corporation in advance of the meeting for any such proposal to be brought before the meeting of the stockholders. In addition, advance notice bylaws frequently require the stockholder nominating a person for election to the board of directors to provide information about the nominee, such as his or her age, address, employment and beneficial ownership of shares of the corporation’s capital stock. The stockholder may also be required to disclose, among other things, his or her name, share ownership and agreement, arrangement or understanding with respect to such nomination.</w:t>
      </w:r>
    </w:p>
    <w:p>
      <w:pPr>
        <w:spacing w:after="0" w:line="192" w:lineRule="exact"/>
        <w:rPr>
          <w:sz w:val="20"/>
          <w:szCs w:val="20"/>
          <w:color w:val="auto"/>
        </w:rPr>
      </w:pPr>
    </w:p>
    <w:p>
      <w:pPr>
        <w:ind w:left="2820"/>
        <w:spacing w:after="0" w:line="254" w:lineRule="auto"/>
        <w:rPr>
          <w:sz w:val="20"/>
          <w:szCs w:val="20"/>
          <w:color w:val="auto"/>
        </w:rPr>
      </w:pPr>
      <w:r>
        <w:rPr>
          <w:rFonts w:ascii="Times New Roman" w:cs="Times New Roman" w:eastAsia="Times New Roman" w:hAnsi="Times New Roman"/>
          <w:sz w:val="18"/>
          <w:szCs w:val="18"/>
          <w:color w:val="auto"/>
        </w:rPr>
        <w:t>For other proposals, the proposing stockholder is often required by the bylaws to provide a description of the proposal and any other information relating to such stockholder or beneficial owner, if any, on whose behalf that proposal is being made, required to be disclosed in a proxy statement or other filings required to be made in connection with solicitation of proxies for the proposal and pursuant to and in accordance with the Exchange Act and the rules and regulations promulgated thereunder.</w:t>
      </w:r>
    </w:p>
    <w:p>
      <w:pPr>
        <w:spacing w:after="0" w:line="184"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SHAREHOLDERS’ SUITS</w:t>
      </w:r>
      <w:r>
        <w:rPr>
          <w:sz w:val="20"/>
          <w:szCs w:val="20"/>
          <w:color w:val="auto"/>
        </w:rPr>
        <w:tab/>
      </w:r>
      <w:r>
        <w:rPr>
          <w:rFonts w:ascii="Times New Roman" w:cs="Times New Roman" w:eastAsia="Times New Roman" w:hAnsi="Times New Roman"/>
          <w:sz w:val="17"/>
          <w:szCs w:val="17"/>
          <w:color w:val="auto"/>
        </w:rPr>
        <w:t>Under Delaware law, a stockholder may bring a derivative</w:t>
      </w:r>
    </w:p>
    <w:p>
      <w:pPr>
        <w:spacing w:after="0" w:line="31" w:lineRule="exact"/>
        <w:rPr>
          <w:sz w:val="20"/>
          <w:szCs w:val="20"/>
          <w:color w:val="auto"/>
        </w:rPr>
      </w:pPr>
    </w:p>
    <w:p>
      <w:pPr>
        <w:ind w:left="2820"/>
        <w:spacing w:after="0" w:line="251" w:lineRule="auto"/>
        <w:rPr>
          <w:sz w:val="20"/>
          <w:szCs w:val="20"/>
          <w:color w:val="auto"/>
        </w:rPr>
      </w:pPr>
      <w:r>
        <w:rPr>
          <w:rFonts w:ascii="Times New Roman" w:cs="Times New Roman" w:eastAsia="Times New Roman" w:hAnsi="Times New Roman"/>
          <w:sz w:val="18"/>
          <w:szCs w:val="18"/>
          <w:color w:val="auto"/>
        </w:rPr>
        <w:t>action on a company’s behalf to enforce the rights of a company. An individual also may commence a class action lawsuit on behalf of himself or herself and other similarly situated stockholders if the requirements for maintaining a class action lawsuit under Delaware law are met. An individual may institute and maintain a class action lawsuit only if such person was a stockholder at the time of the transaction that is the subject of the lawsuit or his or her shares thereafter devolved upon him or her by operation of law. In addition, the plaintiff must generally be a stockholder through the duration of the lawsuit.</w:t>
      </w:r>
    </w:p>
    <w:p>
      <w:pPr>
        <w:spacing w:after="0" w:line="192" w:lineRule="exact"/>
        <w:rPr>
          <w:sz w:val="20"/>
          <w:szCs w:val="20"/>
          <w:color w:val="auto"/>
        </w:rPr>
      </w:pPr>
    </w:p>
    <w:p>
      <w:pPr>
        <w:ind w:left="2820" w:right="240"/>
        <w:spacing w:after="0" w:line="261" w:lineRule="auto"/>
        <w:rPr>
          <w:sz w:val="20"/>
          <w:szCs w:val="20"/>
          <w:color w:val="auto"/>
        </w:rPr>
      </w:pPr>
      <w:r>
        <w:rPr>
          <w:rFonts w:ascii="Times New Roman" w:cs="Times New Roman" w:eastAsia="Times New Roman" w:hAnsi="Times New Roman"/>
          <w:sz w:val="18"/>
          <w:szCs w:val="18"/>
          <w:color w:val="auto"/>
        </w:rPr>
        <w:t>Delaware law requires that a derivative plaintiff make a demand on the directors of the corporation to assert the corporate claim before the lawsuit may be prosecuted, unless such demand would be futile.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00"/>
        <w:spacing w:after="0" w:line="282" w:lineRule="auto"/>
        <w:rPr>
          <w:sz w:val="20"/>
          <w:szCs w:val="20"/>
          <w:color w:val="auto"/>
        </w:rPr>
      </w:pPr>
      <w:r>
        <w:rPr>
          <w:rFonts w:ascii="Times New Roman" w:cs="Times New Roman" w:eastAsia="Times New Roman" w:hAnsi="Times New Roman"/>
          <w:sz w:val="18"/>
          <w:szCs w:val="18"/>
          <w:color w:val="auto"/>
        </w:rPr>
        <w:t>addressed to the registered office of Alvotech by registered mail.</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one or more shareholders representing at least 10% of the share capital request so in writing, with an indication of the agenda, the convening of a general meeting, the board of directors or the statutory auditor must convene a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Under Luxembourg law, the board of directors has sole authority to decide whether to initiate legal action to enforce a company’s rights (other than, in certain circumstances, an action against board members).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Shareholders generally do not have the authority to initiate legal action on a company’s behalf unless the company fails abusively to exercise its legal rights. However, a company’s shareholders may vote at a general meeting to initiate legal action against directors on grounds that the directors have failed to perform their duties.</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Luxembourg law does not provide for class action lawsuits.</w:t>
      </w:r>
    </w:p>
    <w:p>
      <w:pPr>
        <w:spacing w:after="0" w:line="16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However, it is possible for plaintiffs who have similar but separate claims against the same defendant(s) to bring an action on a “group” basis by way of a joint action. It is also possible to ask the court, under the Luxembourg New Civil Procedure Code, to join claims which are closely related and to rule on them together.</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minority shareholders holding an aggregate of 10% of the voting rights and who voted against the discharge to a director at the annual general meeting of the company can initiate legal action against the director on behalf of the company.</w:t>
      </w:r>
    </w:p>
    <w:p>
      <w:pPr>
        <w:sectPr>
          <w:pgSz w:w="11900" w:h="16838" w:orient="portrait"/>
          <w:cols w:equalWidth="0" w:num="2">
            <w:col w:w="7080" w:space="120"/>
            <w:col w:w="4000"/>
          </w:cols>
          <w:pgMar w:left="320" w:top="117" w:right="3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22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title of the series of debt securities;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maturity date or dates;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form of the debt securities of the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applicability of any guarantees;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224" w:lineRule="exact"/>
        <w:rPr>
          <w:rFonts w:ascii="Arial" w:cs="Arial" w:eastAsia="Arial" w:hAnsi="Arial"/>
          <w:sz w:val="18"/>
          <w:szCs w:val="18"/>
          <w:b w:val="1"/>
          <w:bCs w:val="1"/>
          <w:color w:val="auto"/>
        </w:rPr>
      </w:pPr>
    </w:p>
    <w:p>
      <w:pPr>
        <w:ind w:left="980" w:right="140" w:hanging="324"/>
        <w:spacing w:after="0" w:line="281" w:lineRule="auto"/>
        <w:tabs>
          <w:tab w:leader="none" w:pos="980" w:val="left"/>
        </w:tabs>
        <w:numPr>
          <w:ilvl w:val="0"/>
          <w:numId w:val="3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ind w:left="324" w:hanging="324"/>
        <w:spacing w:after="0" w:line="260"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82" w:lineRule="exact"/>
        <w:rPr>
          <w:rFonts w:ascii="Arial" w:cs="Arial" w:eastAsia="Arial" w:hAnsi="Arial"/>
          <w:sz w:val="18"/>
          <w:szCs w:val="18"/>
          <w:b w:val="1"/>
          <w:bCs w:val="1"/>
          <w:color w:val="auto"/>
        </w:rPr>
      </w:pPr>
    </w:p>
    <w:p>
      <w:pPr>
        <w:ind w:left="324" w:right="140" w:hanging="324"/>
        <w:spacing w:after="0" w:line="281"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224" w:lineRule="exact"/>
        <w:rPr>
          <w:rFonts w:ascii="Arial" w:cs="Arial" w:eastAsia="Arial" w:hAnsi="Arial"/>
          <w:sz w:val="18"/>
          <w:szCs w:val="18"/>
          <w:b w:val="1"/>
          <w:bCs w:val="1"/>
          <w:color w:val="auto"/>
        </w:rPr>
      </w:pPr>
    </w:p>
    <w:p>
      <w:pPr>
        <w:ind w:left="324" w:right="420" w:hanging="324"/>
        <w:spacing w:after="0" w:line="265"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177" w:lineRule="exact"/>
        <w:rPr>
          <w:rFonts w:ascii="Arial" w:cs="Arial" w:eastAsia="Arial" w:hAnsi="Arial"/>
          <w:sz w:val="18"/>
          <w:szCs w:val="18"/>
          <w:b w:val="1"/>
          <w:bCs w:val="1"/>
          <w:color w:val="auto"/>
        </w:rPr>
      </w:pPr>
    </w:p>
    <w:p>
      <w:pPr>
        <w:ind w:left="324" w:right="40" w:hanging="324"/>
        <w:spacing w:after="0" w:line="265"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177" w:lineRule="exact"/>
        <w:rPr>
          <w:rFonts w:ascii="Arial" w:cs="Arial" w:eastAsia="Arial" w:hAnsi="Arial"/>
          <w:sz w:val="18"/>
          <w:szCs w:val="18"/>
          <w:b w:val="1"/>
          <w:bCs w:val="1"/>
          <w:color w:val="auto"/>
        </w:rPr>
      </w:pPr>
    </w:p>
    <w:p>
      <w:pPr>
        <w:ind w:left="324" w:hanging="324"/>
        <w:spacing w:after="0"/>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224" w:lineRule="exact"/>
        <w:rPr>
          <w:rFonts w:ascii="Arial" w:cs="Arial" w:eastAsia="Arial" w:hAnsi="Arial"/>
          <w:sz w:val="18"/>
          <w:szCs w:val="18"/>
          <w:b w:val="1"/>
          <w:bCs w:val="1"/>
          <w:color w:val="auto"/>
        </w:rPr>
      </w:pPr>
    </w:p>
    <w:p>
      <w:pPr>
        <w:ind w:left="324" w:right="120" w:hanging="324"/>
        <w:spacing w:after="0" w:line="265"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177" w:lineRule="exact"/>
        <w:rPr>
          <w:rFonts w:ascii="Arial" w:cs="Arial" w:eastAsia="Arial" w:hAnsi="Arial"/>
          <w:sz w:val="18"/>
          <w:szCs w:val="18"/>
          <w:b w:val="1"/>
          <w:bCs w:val="1"/>
          <w:color w:val="auto"/>
        </w:rPr>
      </w:pPr>
    </w:p>
    <w:p>
      <w:pPr>
        <w:ind w:left="324" w:right="140" w:hanging="324"/>
        <w:spacing w:after="0" w:line="265"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77" w:lineRule="exact"/>
        <w:rPr>
          <w:rFonts w:ascii="Arial" w:cs="Arial" w:eastAsia="Arial" w:hAnsi="Arial"/>
          <w:sz w:val="18"/>
          <w:szCs w:val="18"/>
          <w:b w:val="1"/>
          <w:bCs w:val="1"/>
          <w:color w:val="auto"/>
        </w:rPr>
      </w:pPr>
    </w:p>
    <w:p>
      <w:pPr>
        <w:ind w:left="324" w:right="240" w:hanging="324"/>
        <w:spacing w:after="0" w:line="260"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182" w:lineRule="exact"/>
        <w:rPr>
          <w:rFonts w:ascii="Arial" w:cs="Arial" w:eastAsia="Arial" w:hAnsi="Arial"/>
          <w:sz w:val="18"/>
          <w:szCs w:val="18"/>
          <w:b w:val="1"/>
          <w:bCs w:val="1"/>
          <w:color w:val="auto"/>
        </w:rPr>
      </w:pPr>
    </w:p>
    <w:p>
      <w:pPr>
        <w:ind w:left="324" w:right="120" w:hanging="324"/>
        <w:spacing w:after="0" w:line="281"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162" w:lineRule="exact"/>
        <w:rPr>
          <w:rFonts w:ascii="Arial" w:cs="Arial" w:eastAsia="Arial" w:hAnsi="Arial"/>
          <w:sz w:val="18"/>
          <w:szCs w:val="18"/>
          <w:b w:val="1"/>
          <w:bCs w:val="1"/>
          <w:color w:val="auto"/>
        </w:rPr>
      </w:pPr>
    </w:p>
    <w:p>
      <w:pPr>
        <w:ind w:left="324" w:right="200" w:hanging="324"/>
        <w:spacing w:after="0" w:line="281"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162" w:lineRule="exact"/>
        <w:rPr>
          <w:rFonts w:ascii="Arial" w:cs="Arial" w:eastAsia="Arial" w:hAnsi="Arial"/>
          <w:sz w:val="18"/>
          <w:szCs w:val="18"/>
          <w:b w:val="1"/>
          <w:bCs w:val="1"/>
          <w:color w:val="auto"/>
        </w:rPr>
      </w:pPr>
    </w:p>
    <w:p>
      <w:pPr>
        <w:ind w:left="324" w:right="40" w:hanging="324"/>
        <w:spacing w:after="0" w:line="281" w:lineRule="auto"/>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162" w:lineRule="exact"/>
        <w:rPr>
          <w:rFonts w:ascii="Arial" w:cs="Arial" w:eastAsia="Arial" w:hAnsi="Arial"/>
          <w:sz w:val="18"/>
          <w:szCs w:val="18"/>
          <w:b w:val="1"/>
          <w:bCs w:val="1"/>
          <w:color w:val="auto"/>
        </w:rPr>
      </w:pPr>
    </w:p>
    <w:p>
      <w:pPr>
        <w:ind w:left="324" w:hanging="324"/>
        <w:spacing w:after="0"/>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224" w:lineRule="exact"/>
        <w:rPr>
          <w:rFonts w:ascii="Arial" w:cs="Arial" w:eastAsia="Arial" w:hAnsi="Arial"/>
          <w:sz w:val="18"/>
          <w:szCs w:val="18"/>
          <w:b w:val="1"/>
          <w:bCs w:val="1"/>
          <w:color w:val="auto"/>
        </w:rPr>
      </w:pPr>
    </w:p>
    <w:p>
      <w:pPr>
        <w:ind w:left="324" w:hanging="324"/>
        <w:spacing w:after="0"/>
        <w:tabs>
          <w:tab w:leader="none" w:pos="324" w:val="left"/>
        </w:tabs>
        <w:numPr>
          <w:ilvl w:val="0"/>
          <w:numId w:val="3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84"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154305</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78" w:name="page79"/>
    <w:bookmarkEnd w:id="78"/>
    <w:p>
      <w:pPr>
        <w:ind w:left="980" w:right="360" w:hanging="324"/>
        <w:spacing w:after="0" w:line="281" w:lineRule="auto"/>
        <w:tabs>
          <w:tab w:leader="none" w:pos="98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224" w:lineRule="exact"/>
        <w:rPr>
          <w:rFonts w:ascii="Arial" w:cs="Arial" w:eastAsia="Arial" w:hAnsi="Arial"/>
          <w:sz w:val="18"/>
          <w:szCs w:val="18"/>
          <w:b w:val="1"/>
          <w:bCs w:val="1"/>
          <w:color w:val="auto"/>
        </w:rPr>
      </w:pPr>
    </w:p>
    <w:p>
      <w:pPr>
        <w:ind w:left="980" w:right="40" w:hanging="324"/>
        <w:spacing w:after="0" w:line="281" w:lineRule="auto"/>
        <w:tabs>
          <w:tab w:leader="none" w:pos="98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162" w:lineRule="exact"/>
        <w:rPr>
          <w:rFonts w:ascii="Arial" w:cs="Arial" w:eastAsia="Arial" w:hAnsi="Arial"/>
          <w:sz w:val="18"/>
          <w:szCs w:val="18"/>
          <w:b w:val="1"/>
          <w:bCs w:val="1"/>
          <w:color w:val="auto"/>
        </w:rPr>
      </w:pPr>
    </w:p>
    <w:p>
      <w:pPr>
        <w:ind w:left="980" w:right="140" w:hanging="324"/>
        <w:spacing w:after="0" w:line="281" w:lineRule="auto"/>
        <w:tabs>
          <w:tab w:leader="none" w:pos="98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restrictions on transfer, sale or assignment of the debt securities of the series;</w:t>
      </w:r>
    </w:p>
    <w:p>
      <w:pPr>
        <w:spacing w:after="0" w:line="222" w:lineRule="exact"/>
        <w:rPr>
          <w:rFonts w:ascii="Arial" w:cs="Arial" w:eastAsia="Arial" w:hAnsi="Arial"/>
          <w:sz w:val="18"/>
          <w:szCs w:val="18"/>
          <w:b w:val="1"/>
          <w:bCs w:val="1"/>
          <w:color w:val="auto"/>
        </w:rPr>
      </w:pPr>
    </w:p>
    <w:p>
      <w:pPr>
        <w:ind w:left="980" w:right="180" w:hanging="324"/>
        <w:spacing w:after="0" w:line="283" w:lineRule="auto"/>
        <w:tabs>
          <w:tab w:leader="none" w:pos="98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extent to which the provisions of the Luxembourg Company Law relating to the issuance of debt securities (</w:t>
      </w:r>
      <w:r>
        <w:rPr>
          <w:rFonts w:ascii="Times New Roman" w:cs="Times New Roman" w:eastAsia="Times New Roman" w:hAnsi="Times New Roman"/>
          <w:sz w:val="18"/>
          <w:szCs w:val="18"/>
          <w:i w:val="1"/>
          <w:iCs w:val="1"/>
          <w:color w:val="auto"/>
        </w:rPr>
        <w:t>émission d’obligations</w:t>
      </w:r>
      <w:r>
        <w:rPr>
          <w:rFonts w:ascii="Times New Roman" w:cs="Times New Roman" w:eastAsia="Times New Roman" w:hAnsi="Times New Roman"/>
          <w:sz w:val="18"/>
          <w:szCs w:val="18"/>
          <w:color w:val="auto"/>
        </w:rPr>
        <w:t>) will be applicable to the series of debt securities being offered; and</w:t>
      </w:r>
    </w:p>
    <w:p>
      <w:pPr>
        <w:spacing w:after="0" w:line="160" w:lineRule="exact"/>
        <w:rPr>
          <w:rFonts w:ascii="Arial" w:cs="Arial" w:eastAsia="Arial" w:hAnsi="Arial"/>
          <w:sz w:val="18"/>
          <w:szCs w:val="18"/>
          <w:b w:val="1"/>
          <w:bCs w:val="1"/>
          <w:color w:val="auto"/>
        </w:rPr>
      </w:pPr>
    </w:p>
    <w:p>
      <w:pPr>
        <w:ind w:left="980" w:right="480" w:hanging="324"/>
        <w:spacing w:after="0" w:line="281" w:lineRule="auto"/>
        <w:tabs>
          <w:tab w:leader="none" w:pos="980" w:val="left"/>
        </w:tabs>
        <w:numPr>
          <w:ilvl w:val="0"/>
          <w:numId w:val="3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62" w:lineRule="exact"/>
        <w:rPr>
          <w:sz w:val="20"/>
          <w:szCs w:val="20"/>
          <w:color w:val="auto"/>
        </w:rPr>
      </w:pPr>
    </w:p>
    <w:p>
      <w:pPr>
        <w:ind w:left="980" w:right="40" w:hanging="324"/>
        <w:spacing w:after="0" w:line="265" w:lineRule="auto"/>
        <w:tabs>
          <w:tab w:leader="none" w:pos="98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177" w:lineRule="exact"/>
        <w:rPr>
          <w:rFonts w:ascii="Arial" w:cs="Arial" w:eastAsia="Arial" w:hAnsi="Arial"/>
          <w:sz w:val="18"/>
          <w:szCs w:val="18"/>
          <w:b w:val="1"/>
          <w:bCs w:val="1"/>
          <w:color w:val="auto"/>
        </w:rPr>
      </w:pPr>
    </w:p>
    <w:p>
      <w:pPr>
        <w:ind w:left="980" w:right="160" w:hanging="324"/>
        <w:spacing w:after="0" w:line="260" w:lineRule="auto"/>
        <w:tabs>
          <w:tab w:leader="none" w:pos="980" w:val="left"/>
        </w:tabs>
        <w:numPr>
          <w:ilvl w:val="0"/>
          <w:numId w:val="4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980" w:right="240" w:hanging="324"/>
        <w:spacing w:after="0" w:line="260" w:lineRule="auto"/>
        <w:tabs>
          <w:tab w:leader="none" w:pos="98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182" w:lineRule="exact"/>
        <w:rPr>
          <w:rFonts w:ascii="Arial" w:cs="Arial" w:eastAsia="Arial" w:hAnsi="Arial"/>
          <w:sz w:val="18"/>
          <w:szCs w:val="18"/>
          <w:b w:val="1"/>
          <w:bCs w:val="1"/>
          <w:color w:val="auto"/>
        </w:rPr>
      </w:pPr>
    </w:p>
    <w:p>
      <w:pPr>
        <w:ind w:left="980" w:hanging="324"/>
        <w:spacing w:after="0"/>
        <w:tabs>
          <w:tab w:leader="none" w:pos="980" w:val="left"/>
        </w:tabs>
        <w:numPr>
          <w:ilvl w:val="0"/>
          <w:numId w:val="4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183"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224" w:lineRule="exact"/>
        <w:rPr>
          <w:rFonts w:ascii="Arial" w:cs="Arial" w:eastAsia="Arial" w:hAnsi="Arial"/>
          <w:sz w:val="18"/>
          <w:szCs w:val="18"/>
          <w:b w:val="1"/>
          <w:bCs w:val="1"/>
          <w:color w:val="auto"/>
        </w:rPr>
      </w:pPr>
    </w:p>
    <w:p>
      <w:pPr>
        <w:ind w:left="980" w:right="240" w:hanging="324"/>
        <w:spacing w:after="0" w:line="281" w:lineRule="auto"/>
        <w:tabs>
          <w:tab w:leader="none" w:pos="980" w:val="left"/>
        </w:tabs>
        <w:numPr>
          <w:ilvl w:val="0"/>
          <w:numId w:val="4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162"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224" w:lineRule="exact"/>
        <w:rPr>
          <w:rFonts w:ascii="Arial" w:cs="Arial" w:eastAsia="Arial" w:hAnsi="Arial"/>
          <w:sz w:val="18"/>
          <w:szCs w:val="18"/>
          <w:b w:val="1"/>
          <w:bCs w:val="1"/>
          <w:color w:val="auto"/>
        </w:rPr>
      </w:pPr>
    </w:p>
    <w:p>
      <w:pPr>
        <w:ind w:left="980" w:right="220" w:hanging="324"/>
        <w:spacing w:after="0" w:line="281" w:lineRule="auto"/>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162" w:lineRule="exact"/>
        <w:rPr>
          <w:rFonts w:ascii="Arial" w:cs="Arial" w:eastAsia="Arial" w:hAnsi="Arial"/>
          <w:sz w:val="18"/>
          <w:szCs w:val="18"/>
          <w:b w:val="1"/>
          <w:bCs w:val="1"/>
          <w:color w:val="auto"/>
        </w:rPr>
      </w:pPr>
    </w:p>
    <w:p>
      <w:pPr>
        <w:ind w:left="980" w:right="700" w:hanging="324"/>
        <w:spacing w:after="0" w:line="281" w:lineRule="auto"/>
        <w:tabs>
          <w:tab w:leader="none" w:pos="980" w:val="left"/>
        </w:tabs>
        <w:numPr>
          <w:ilvl w:val="0"/>
          <w:numId w:val="4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222" w:lineRule="exact"/>
        <w:rPr>
          <w:rFonts w:ascii="Arial" w:cs="Arial" w:eastAsia="Arial" w:hAnsi="Arial"/>
          <w:sz w:val="18"/>
          <w:szCs w:val="18"/>
          <w:b w:val="1"/>
          <w:bCs w:val="1"/>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226" w:lineRule="exact"/>
        <w:rPr>
          <w:rFonts w:ascii="Arial" w:cs="Arial" w:eastAsia="Arial" w:hAnsi="Arial"/>
          <w:sz w:val="18"/>
          <w:szCs w:val="18"/>
          <w:b w:val="1"/>
          <w:bCs w:val="1"/>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224" w:lineRule="exact"/>
        <w:rPr>
          <w:rFonts w:ascii="Arial" w:cs="Arial" w:eastAsia="Arial" w:hAnsi="Arial"/>
          <w:sz w:val="18"/>
          <w:szCs w:val="18"/>
          <w:b w:val="1"/>
          <w:bCs w:val="1"/>
          <w:color w:val="auto"/>
        </w:rPr>
      </w:pPr>
    </w:p>
    <w:p>
      <w:pPr>
        <w:ind w:left="980" w:right="140" w:hanging="324"/>
        <w:spacing w:after="0" w:line="260" w:lineRule="auto"/>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182" w:lineRule="exact"/>
        <w:rPr>
          <w:rFonts w:ascii="Arial" w:cs="Arial" w:eastAsia="Arial" w:hAnsi="Arial"/>
          <w:sz w:val="18"/>
          <w:szCs w:val="18"/>
          <w:b w:val="1"/>
          <w:bCs w:val="1"/>
          <w:color w:val="auto"/>
        </w:rPr>
      </w:pPr>
    </w:p>
    <w:p>
      <w:pPr>
        <w:ind w:left="980" w:right="1000" w:hanging="324"/>
        <w:spacing w:after="0" w:line="281" w:lineRule="auto"/>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224" w:lineRule="exact"/>
        <w:rPr>
          <w:rFonts w:ascii="Arial" w:cs="Arial" w:eastAsia="Arial" w:hAnsi="Arial"/>
          <w:sz w:val="18"/>
          <w:szCs w:val="18"/>
          <w:b w:val="1"/>
          <w:bCs w:val="1"/>
          <w:color w:val="auto"/>
        </w:rPr>
      </w:pPr>
    </w:p>
    <w:p>
      <w:pPr>
        <w:jc w:val="both"/>
        <w:ind w:left="980" w:right="360" w:hanging="324"/>
        <w:spacing w:after="0" w:line="265" w:lineRule="auto"/>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177" w:lineRule="exact"/>
        <w:rPr>
          <w:rFonts w:ascii="Arial" w:cs="Arial" w:eastAsia="Arial" w:hAnsi="Arial"/>
          <w:sz w:val="18"/>
          <w:szCs w:val="18"/>
          <w:b w:val="1"/>
          <w:bCs w:val="1"/>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180"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224" w:lineRule="exact"/>
        <w:rPr>
          <w:rFonts w:ascii="Arial" w:cs="Arial" w:eastAsia="Arial" w:hAnsi="Arial"/>
          <w:sz w:val="18"/>
          <w:szCs w:val="18"/>
          <w:b w:val="1"/>
          <w:bCs w:val="1"/>
          <w:color w:val="auto"/>
        </w:rPr>
      </w:pPr>
    </w:p>
    <w:p>
      <w:pPr>
        <w:ind w:left="980" w:right="200" w:hanging="324"/>
        <w:spacing w:after="0" w:line="281" w:lineRule="auto"/>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162" w:lineRule="exact"/>
        <w:rPr>
          <w:rFonts w:ascii="Arial" w:cs="Arial" w:eastAsia="Arial" w:hAnsi="Arial"/>
          <w:sz w:val="18"/>
          <w:szCs w:val="18"/>
          <w:b w:val="1"/>
          <w:bCs w:val="1"/>
          <w:color w:val="auto"/>
        </w:rPr>
      </w:pPr>
    </w:p>
    <w:p>
      <w:pPr>
        <w:ind w:left="980" w:right="520" w:hanging="324"/>
        <w:spacing w:after="0" w:line="281" w:lineRule="auto"/>
        <w:tabs>
          <w:tab w:leader="none" w:pos="980" w:val="left"/>
        </w:tabs>
        <w:numPr>
          <w:ilvl w:val="0"/>
          <w:numId w:val="4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162"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provide for payment;</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replace stolen, lost or mutilated debt securities of the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maintain paying agencies;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hold monies for payment in trust;</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recover excess money held by the trustee;</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compensate and indemnify the trustee; and</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4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appoint any successor trustee.</w:t>
      </w:r>
    </w:p>
    <w:p>
      <w:pPr>
        <w:spacing w:after="0" w:line="22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225" w:lineRule="exact"/>
        <w:rPr>
          <w:sz w:val="20"/>
          <w:szCs w:val="20"/>
          <w:color w:val="auto"/>
        </w:rPr>
      </w:pPr>
    </w:p>
    <w:p>
      <w:pPr>
        <w:jc w:val="both"/>
        <w:ind w:left="980" w:right="480" w:hanging="324"/>
        <w:spacing w:after="0" w:line="265" w:lineRule="auto"/>
        <w:tabs>
          <w:tab w:leader="none" w:pos="98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77" w:lineRule="exact"/>
        <w:rPr>
          <w:rFonts w:ascii="Arial" w:cs="Arial" w:eastAsia="Arial" w:hAnsi="Arial"/>
          <w:sz w:val="18"/>
          <w:szCs w:val="18"/>
          <w:b w:val="1"/>
          <w:bCs w:val="1"/>
          <w:color w:val="auto"/>
        </w:rPr>
      </w:pPr>
    </w:p>
    <w:p>
      <w:pPr>
        <w:ind w:left="980" w:right="180" w:hanging="324"/>
        <w:spacing w:after="0" w:line="281" w:lineRule="auto"/>
        <w:tabs>
          <w:tab w:leader="none" w:pos="980" w:val="left"/>
        </w:tabs>
        <w:numPr>
          <w:ilvl w:val="0"/>
          <w:numId w:val="4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in any related free writing prospectus that we may authorize to be distributed to you, summarizes the material terms and provisions of the warrants that we may offer under this prospectus, which may consist of warrants to purchase ordinary shares. We may issue warrants independently or together with any other securities offered by any prospectus supplement and the warrants may be attached to or separate from those securities.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We will evidence each series of warrants by warrant certificates that we may issue under a separate agreement. Any series of warrants may be issued under a separate warrant agreement, which may be entered into between us and a warrant agent specified in a prospectus supplement relating to a particular series of warrants. Any such warrant agent will act solely as our agent in connection with the warrants of such series and will not assume any obligation or relationship of agency or trust with any of the holders of the warrants. In the applicable prospectus supplement, we will describe the terms of the series of warrants being offered, including:</w:t>
      </w:r>
    </w:p>
    <w:p>
      <w:pPr>
        <w:spacing w:after="0" w:line="19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title of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aggregate number of the warrants offered;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currency or currencies for which the warrants may be purchased;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of ordinary shares purchasable upon exercise of the warrants;</w:t>
      </w:r>
    </w:p>
    <w:p>
      <w:pPr>
        <w:spacing w:after="0" w:line="224" w:lineRule="exact"/>
        <w:rPr>
          <w:rFonts w:ascii="Arial" w:cs="Arial" w:eastAsia="Arial" w:hAnsi="Arial"/>
          <w:sz w:val="18"/>
          <w:szCs w:val="18"/>
          <w:b w:val="1"/>
          <w:bCs w:val="1"/>
          <w:color w:val="auto"/>
        </w:rPr>
      </w:pPr>
    </w:p>
    <w:p>
      <w:pPr>
        <w:ind w:left="660" w:right="540" w:hanging="328"/>
        <w:spacing w:after="0" w:line="281" w:lineRule="auto"/>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designation and terms of the securities, if any, with which the warrants are issued, and the number of the warrants issued with each such offered security;</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if any, on and after which the warrants and the related securities will be separately transferable;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any rights to redeem or call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any rights to force the exercise of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price at which, and form of consideration for which, each security purchasable upon exercise of the warrants may be purchased;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information with respect to book-entry procedures, if any;</w:t>
      </w:r>
    </w:p>
    <w:p>
      <w:pPr>
        <w:spacing w:after="0" w:line="224" w:lineRule="exact"/>
        <w:rPr>
          <w:rFonts w:ascii="Arial" w:cs="Arial" w:eastAsia="Arial" w:hAnsi="Arial"/>
          <w:sz w:val="18"/>
          <w:szCs w:val="18"/>
          <w:b w:val="1"/>
          <w:bCs w:val="1"/>
          <w:color w:val="auto"/>
        </w:rPr>
      </w:pPr>
    </w:p>
    <w:p>
      <w:pPr>
        <w:jc w:val="center"/>
        <w:ind w:left="5560" w:right="60" w:hanging="5228"/>
        <w:spacing w:after="0" w:line="484" w:lineRule="auto"/>
        <w:tabs>
          <w:tab w:leader="none" w:pos="653" w:val="left"/>
        </w:tabs>
        <w:numPr>
          <w:ilvl w:val="0"/>
          <w:numId w:val="4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a discussion of the material Luxembourg and U.S. income tax considerations applicable to the issuance or exercise of such warrants;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minimum or maximum amount of the warrants which may be exercised at any one time;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circumstances that will cause the warrants to be deemed to be automatically exercised;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4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material terms of the warrants.</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on such exercise, including, in the case or warrants to purchase ordinary shares, the right to receive dividends, if any, or, payments upon our liquidation, dissolution or winding up or to exercise voting rights, if any.</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reserve the right to set forth in a prospectus supplement or applicable free writing prospectus specific terms of the warrants that are not within the options and parameters set forth in this prospectus. In addition, to the extent that any particular terms and conditions of the warrants described in a prospectus supplement or applicable free writing prospectus differ from any of the terms described in this prospectus, the description of such terms and conditions set forth in this prospectus shall be deemed to have been superseded or supplemented by the description of such differing terms and conditions set forth in such prospectus supplement or applicable free writing prospectus with respect to such warrants.</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issue rights to purchase any of our securities or any combination thereof. Rights may be issued independently or together with any other offered security and may or may not be transferable by the person purchasing or receiving the rights. The rights may be issued independently or together with any other security offered hereby and may or may not be transferable by the shareholder receiving the subscription rights in such offering. In connection with any rights offering to our shareholders,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shareholders, we will distribute certificates evidencing the rights and a prospectus supplement to our shareholders on the record date that we set for receiving rights in such rights offering.</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rights that we offer will include specific terms of any offering of rights for which this prospectus is being delivered, including the following, to the extent applicable:</w:t>
      </w:r>
    </w:p>
    <w:p>
      <w:pPr>
        <w:spacing w:after="0" w:line="16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date for determining the persons entitled to participate in the rights distribution;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price, if any, per right;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price payable upon the exercise of the rights;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of rights issued or to be issued to each holder;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and terms of the securities that may be purchased per each right;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extent to which the rights are transferable;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respective dates on which the holder’s ability to exercise the rights will commence and will expire;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number of rights outstanding, if any;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discussion of any material Luxembourg or U.S. federal income tax considerations applicable to the rights;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and</w:t>
      </w:r>
    </w:p>
    <w:p>
      <w:pPr>
        <w:spacing w:after="0" w:line="224" w:lineRule="exact"/>
        <w:rPr>
          <w:rFonts w:ascii="Arial" w:cs="Arial" w:eastAsia="Arial" w:hAnsi="Arial"/>
          <w:sz w:val="18"/>
          <w:szCs w:val="18"/>
          <w:b w:val="1"/>
          <w:bCs w:val="1"/>
          <w:color w:val="auto"/>
        </w:rPr>
      </w:pPr>
    </w:p>
    <w:p>
      <w:pPr>
        <w:ind w:left="660" w:right="220" w:hanging="328"/>
        <w:spacing w:after="0" w:line="281" w:lineRule="auto"/>
        <w:tabs>
          <w:tab w:leader="none" w:pos="660" w:val="left"/>
        </w:tabs>
        <w:numPr>
          <w:ilvl w:val="0"/>
          <w:numId w:val="5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such rights.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rights that we may offer will not necessarily be complete and will be qualified in its entirety by reference to the applicable rights agreement and/or rights certificate, which will be filed with the SEC in connection therewith.</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our ordinary shares, debt securities, rights, warrants or any combination of such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will describe:</w:t>
      </w:r>
    </w:p>
    <w:p>
      <w:pPr>
        <w:spacing w:after="0" w:line="183" w:lineRule="exact"/>
        <w:rPr>
          <w:sz w:val="20"/>
          <w:szCs w:val="20"/>
          <w:color w:val="auto"/>
        </w:rPr>
      </w:pPr>
    </w:p>
    <w:p>
      <w:pPr>
        <w:ind w:left="660" w:right="300" w:hanging="328"/>
        <w:spacing w:after="0" w:line="281" w:lineRule="auto"/>
        <w:tabs>
          <w:tab w:leader="none" w:pos="660" w:val="left"/>
        </w:tabs>
        <w:numPr>
          <w:ilvl w:val="0"/>
          <w:numId w:val="5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the units and of the ordinary shares, debt securities, rights and/or warrants comprising the units, including whether and under what circumstances the securities comprising the units may be traded separately;</w:t>
      </w:r>
    </w:p>
    <w:p>
      <w:pPr>
        <w:spacing w:after="0" w:line="162" w:lineRule="exact"/>
        <w:rPr>
          <w:rFonts w:ascii="Arial" w:cs="Arial" w:eastAsia="Arial" w:hAnsi="Arial"/>
          <w:sz w:val="18"/>
          <w:szCs w:val="18"/>
          <w:b w:val="1"/>
          <w:bCs w:val="1"/>
          <w:color w:val="auto"/>
        </w:rPr>
      </w:pPr>
    </w:p>
    <w:p>
      <w:pPr>
        <w:ind w:left="660" w:right="500" w:hanging="328"/>
        <w:spacing w:after="0" w:line="281" w:lineRule="auto"/>
        <w:tabs>
          <w:tab w:leader="none" w:pos="660" w:val="left"/>
        </w:tabs>
        <w:numPr>
          <w:ilvl w:val="0"/>
          <w:numId w:val="5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terms of any unit agreement governing the units or any arrangement with an agent that may act on our behalf in connection with the unit offering;</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5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provisions for the payment, settlement, transfer or exchange of the units;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material provisions of the governing unit agreement that differ from those described above.</w:t>
      </w:r>
    </w:p>
    <w:p>
      <w:pPr>
        <w:spacing w:after="0" w:line="2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units we offer will not necessarily be complete and will be qualified in its entirety by reference to the applicable units agreement, which will be filed with the SEC if we offer units. For more information on how you can obtain copies of the applicable units agreement if we offer units,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material Luxembourg and U.S. federal income tax consequences relating to the purchase, ownership and disposition of any of the securities offered by this prospectus will be set forth in the prospectus supplement pertaining to those securities.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also sell the securities directly to corporate partners in various programs of the Company, institutional investors or other purchasers or through agents. We will identify any underwriter, dealer, or agent involved in the offer and sale of the securities, and any applicable commissions, discounts and other terms constituting compensation to such underwriters, dealers or agents, in a prospectus supplement.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distribute securities from time to time in one or more transactions:</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a fixed price or prices, which may be changed;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market prices prevailing at the time of sale;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prices related to such prevailing market prices; or</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at negotiated prices.</w:t>
      </w:r>
    </w:p>
    <w:p>
      <w:pPr>
        <w:spacing w:after="0" w:line="22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securities exchange or quotation or trading service on which such securities are then listed, quoted or traded at the time of sale. Such at the market offerings, if any, may be conducted by underwriters acting as principal or agent.</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6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name or names of any underwriters, dealers or agents, if any;</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public offering price;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5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of our securities, such securities will be acquired by the underwriters for their own account and may be resold from time to time in one or more transactions, including negotiated transactions, at a fixed public offering price or at varying prices determined at the time of sale. Unless stated otherwise in a prospectus supplement, the obligation of any underwriters to purchase our securities will be subject to certain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or our agents may solicit offers to purchase securities from time to time. Unless stated otherwise in a prospectus supplement, any agent will be acting on a best efforts basis for the period of its appointment. In connection with the sale of our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from the underwriters and/or commissions from the purchasers for whom they may act as agents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Underwriters, dealers and agents may be entitled, under agreements with us, to indemnification against and contribution toward certain civil liabilities, including liabilities under the Securities Act. Certain of the underwriters or agents and their associates may engage in transactions with and perform services for us or our affiliates in the ordinary course of their respective businesses.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other transactions with us, or perform other services for us, in the ordinary course of their business.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the SEC registration fee and the FINRA filing fee, the following are the estimated expenses related to the filing of the registration statement of which this prospectus forms a part, all of which will be paid by us. In addition, we anticipate incurring additional expenses in the future in connection with the offering of our securities pursuant to this prospectus. Any such additional expenses will be disclosed in a prospectus supplement.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U.S.</w:t>
            </w:r>
          </w:p>
        </w:tc>
      </w:tr>
      <w:tr>
        <w:trPr>
          <w:trHeight w:val="173"/>
        </w:trPr>
        <w:tc>
          <w:tcPr>
            <w:tcW w:w="58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w:t>
            </w:r>
          </w:p>
        </w:tc>
      </w:tr>
      <w:tr>
        <w:trPr>
          <w:trHeight w:val="210"/>
        </w:trPr>
        <w:tc>
          <w:tcPr>
            <w:tcW w:w="58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100" w:type="dxa"/>
            <w:vAlign w:val="bottom"/>
            <w:tcBorders>
              <w:top w:val="single" w:sz="8" w:color="E5FFFF"/>
            </w:tcBorders>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20" w:type="dxa"/>
            <w:vAlign w:val="bottom"/>
            <w:tcBorders>
              <w:top w:val="single" w:sz="8" w:color="E5FFFF"/>
            </w:tcBorders>
            <w:shd w:val="clear" w:color="auto" w:fill="E5FF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4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1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4100" w:type="dxa"/>
            <w:vAlign w:val="bottom"/>
            <w:shd w:val="clear" w:color="auto" w:fill="E5FFFF"/>
          </w:tcPr>
          <w:p>
            <w:pPr>
              <w:spacing w:after="0"/>
              <w:rPr>
                <w:sz w:val="18"/>
                <w:szCs w:val="18"/>
                <w:color w:val="auto"/>
              </w:rPr>
            </w:pPr>
          </w:p>
        </w:tc>
        <w:tc>
          <w:tcPr>
            <w:tcW w:w="12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4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00" w:type="dxa"/>
            <w:vAlign w:val="bottom"/>
            <w:shd w:val="clear" w:color="auto" w:fill="E5FF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bl>
    <w:p>
      <w:pPr>
        <w:ind w:right="200" w:firstLine="8"/>
        <w:spacing w:after="0" w:line="260" w:lineRule="auto"/>
        <w:tabs>
          <w:tab w:leader="none" w:pos="43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and expenses depend on the securities offered and the number of issuances, and accordingly cannot be estimated at this time and will be reflected in the applicable prospectus supplement</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CIVIL LIABILITIES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SECURITIES LAWS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Alvotech is incorporated in Luxembourg and conducts a majority of its operations through its subsidiary, Alvotech hf., located outside the United States. In addition, some of the members of our board of directors and officers reside outside the United States and a substantial portion of our assets are located in Iceland and elsewhere outside the U.S. Investors may not be able to effect service of process within the United States upon us or these persons or enforce judgments obtained against us or these persons in U.S. courts, including judgments in actions predicated upon the civil liability provisions of the U.S. federal securities laws. Likewise, it also may be difficult for an investor to enforce in U.S. courts judgments obtained against us or these persons in courts located in jurisdictions outside the United States, including judgments predicated upon the civil liability provisions of the U.S. federal securities laws. Awards of punitive damages in actions brought in the United States or elsewhere are generally not enforceable in Luxembourg and Iceland.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there is no treaty in force on the reciprocal recognition and enforcement of judgments in civil and commercial matters between the United States and Luxembourg other than arbitral awards rendered in civil and commercial matters, courts in Luxembourg will not automatically recognize and enforce a final judgment rendered by a U.S. court. A valid judgment obtained from a court of competent jurisdiction in the United States may be entered and enforced through a court of competent jurisdiction in Luxembourg, subject to the applicable enforcement procedures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as set out in the relevant provisions of the Luxembourg New Civil Procedure Code and in Luxembourg case law. Pursuant to Luxembourg case law, the granting of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is subject to the following requirements:</w:t>
      </w:r>
    </w:p>
    <w:p>
      <w:pPr>
        <w:spacing w:after="0" w:line="185" w:lineRule="exact"/>
        <w:rPr>
          <w:sz w:val="20"/>
          <w:szCs w:val="20"/>
          <w:color w:val="auto"/>
        </w:rPr>
      </w:pPr>
    </w:p>
    <w:p>
      <w:pPr>
        <w:ind w:left="980" w:right="20" w:hanging="324"/>
        <w:spacing w:after="0" w:line="283" w:lineRule="auto"/>
        <w:tabs>
          <w:tab w:leader="none" w:pos="98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is final and enforceable (</w:t>
      </w:r>
      <w:r>
        <w:rPr>
          <w:rFonts w:ascii="Times New Roman" w:cs="Times New Roman" w:eastAsia="Times New Roman" w:hAnsi="Times New Roman"/>
          <w:sz w:val="18"/>
          <w:szCs w:val="18"/>
          <w:i w:val="1"/>
          <w:iCs w:val="1"/>
          <w:color w:val="auto"/>
        </w:rPr>
        <w:t>exécutoire</w:t>
      </w:r>
      <w:r>
        <w:rPr>
          <w:rFonts w:ascii="Times New Roman" w:cs="Times New Roman" w:eastAsia="Times New Roman" w:hAnsi="Times New Roman"/>
          <w:sz w:val="18"/>
          <w:szCs w:val="18"/>
          <w:color w:val="auto"/>
        </w:rPr>
        <w:t>) in the United States and has not been fully enforced in the United States and/or in any other jurisdiction;</w:t>
      </w:r>
    </w:p>
    <w:p>
      <w:pPr>
        <w:spacing w:after="0" w:line="160"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had full jurisdiction over the subject matter leading to the judgment (that is, its jurisdiction was in compliance both with Luxembourg private international law rules and with the applicable domestic U.S. federal or state jurisdictional rules);</w:t>
      </w:r>
    </w:p>
    <w:p>
      <w:pPr>
        <w:spacing w:after="0" w:line="162" w:lineRule="exact"/>
        <w:rPr>
          <w:rFonts w:ascii="Arial" w:cs="Arial" w:eastAsia="Arial" w:hAnsi="Arial"/>
          <w:sz w:val="18"/>
          <w:szCs w:val="18"/>
          <w:b w:val="1"/>
          <w:bCs w:val="1"/>
          <w:color w:val="auto"/>
        </w:rPr>
      </w:pPr>
    </w:p>
    <w:p>
      <w:pPr>
        <w:jc w:val="both"/>
        <w:ind w:left="980" w:hanging="324"/>
        <w:spacing w:after="0" w:line="265" w:lineRule="auto"/>
        <w:tabs>
          <w:tab w:leader="none" w:pos="98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applied to the dispute the substantive law which is designated by the Luxembourg conflict of laws rules or, at least, such court’s order must not contravene the principles underlying those rules (based on recent case law and legal doctrine, it is not certain that this condition would still be required for an exequatur to be granted by a Luxembourg court);</w:t>
      </w:r>
    </w:p>
    <w:p>
      <w:pPr>
        <w:spacing w:after="0" w:line="177"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was granted following proceedings where the counterparty had the opportunity to appear and, if it appeared, to present a defense, and the decision of the foreign court must not have been obtained by fraud, but in compliance with the rights of the defendant;</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U.S. court acted in accordance with its own procedural laws;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judgment of the U.S. court does not contradict an already issued judgment of a Luxembourg court, and</w:t>
      </w:r>
    </w:p>
    <w:p>
      <w:pPr>
        <w:spacing w:after="0" w:line="224" w:lineRule="exact"/>
        <w:rPr>
          <w:rFonts w:ascii="Arial" w:cs="Arial" w:eastAsia="Arial" w:hAnsi="Arial"/>
          <w:sz w:val="18"/>
          <w:szCs w:val="18"/>
          <w:b w:val="1"/>
          <w:bCs w:val="1"/>
          <w:color w:val="auto"/>
        </w:rPr>
      </w:pPr>
    </w:p>
    <w:p>
      <w:pPr>
        <w:jc w:val="both"/>
        <w:ind w:left="980" w:hanging="324"/>
        <w:spacing w:after="0" w:line="256" w:lineRule="auto"/>
        <w:tabs>
          <w:tab w:leader="none" w:pos="980" w:val="left"/>
        </w:tabs>
        <w:numPr>
          <w:ilvl w:val="0"/>
          <w:numId w:val="5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decisions and the considerations of the U.S. court must not be contrary to Luxembourg international public policy rules (as such term is interpreted under the laws of Luxembourg) or have been given in proceedings of a tax or criminal nature or rendered subsequent to an evasion of Luxembourg law (</w:t>
      </w:r>
      <w:r>
        <w:rPr>
          <w:rFonts w:ascii="Times New Roman" w:cs="Times New Roman" w:eastAsia="Times New Roman" w:hAnsi="Times New Roman"/>
          <w:sz w:val="18"/>
          <w:szCs w:val="18"/>
          <w:i w:val="1"/>
          <w:iCs w:val="1"/>
          <w:color w:val="auto"/>
        </w:rPr>
        <w:t>fraude à la loi</w:t>
      </w:r>
      <w:r>
        <w:rPr>
          <w:rFonts w:ascii="Times New Roman" w:cs="Times New Roman" w:eastAsia="Times New Roman" w:hAnsi="Times New Roman"/>
          <w:sz w:val="18"/>
          <w:szCs w:val="18"/>
          <w:color w:val="auto"/>
        </w:rPr>
        <w:t>). Awards of damages made under civil liabilities provisions of the U.S. federal securities laws, or other laws, which are classified by Luxembourg courts as being of a penal or punitive nature (for example, fines or punitive damages), might not be recognized by Luxembourg courts. Ordinarily, an award of monetary damages would not be considered as a penalty, but if the monetary damages include punitive damages, such punitive damages may be considered a penalty and therefore not enforceable in Luxembourg.</w:t>
      </w:r>
    </w:p>
    <w:p>
      <w:pPr>
        <w:spacing w:after="0" w:line="18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Similarly, as Alvotech hf., a subsidiary of Alvotech, has significant assets in Iceland, investors may seek to enforce judgments obtained in the United States against Alvotech in Iceland. As there is no treaty in force on the reciprocal</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18"/>
          <w:szCs w:val="18"/>
          <w:color w:val="auto"/>
        </w:rPr>
        <w:t>recognition and enforcement of judgments in civil and commercial matters between the United States and Iceland other than arbitral awards entered in civil and commercial matters, courts in Iceland will not automatically recognize and enforce a final judgment rendered by a U.S. court. Based on recent Icelandic case law, a valid judgment obtained from a court of competent jurisdiction in the United States will not be directly recognized and enforceable in Iceland. Instead, the judgment creditor would need to issue fresh legal proceedings against the judgment debtor in Iceland in which the U.S. judgment would serve as evidence, in addition to other evidence and legal arguments regarding the merits of the case, which will be adjudicated by the Icelandic courts.</w:t>
      </w:r>
    </w:p>
    <w:p>
      <w:pPr>
        <w:spacing w:after="0" w:line="18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If an original action is brought in Luxembourg or Iceland, without prejudice to specific conflict of law rules, Luxembourg courts or Icelandic courts may refuse to apply the designated law (i) if the choice of such foreign law was not made bona fide or (ii) if the foreign law was not pleaded and proved or</w:t>
      </w:r>
    </w:p>
    <w:p>
      <w:pPr>
        <w:jc w:val="both"/>
        <w:ind w:firstLine="8"/>
        <w:spacing w:after="0" w:line="255" w:lineRule="auto"/>
        <w:tabs>
          <w:tab w:leader="none" w:pos="3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pleaded and proved, such foreign law is contrary to mandatory Luxembourg or Icelandic laws or incompatible with Luxembourg or Icelandic public policy rules. In an action brought in Luxembourg or Iceland on the basis of U.S. federal or state securities laws, Luxembourg courts or Icelandic courts may not have the requisite power to grant the remedies sought. Also, an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may be refused by a Luxembourg court in respect of punitive damages.</w:t>
      </w:r>
    </w:p>
    <w:p>
      <w:pPr>
        <w:spacing w:after="0" w:line="186"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practice, Luxembourg courts tend not to review the merits of a foreign judgment, although there is no clear statutory prohibition of such review. A contractual provision allowing the service of process against a party to a service agent could be overridden by Luxembourg or Icelandic statutory provisions allowing the valid serving of process against a party in accordance with applicable laws at the domicile of the party. Further, in the event any proceedings are brought in a Luxembourg court in respect of a monetary obligation payable in a currency other than the Euro, a Luxembourg court would have the power to give judgment as an order to pay the obligation in a currency other than the Euro. However, enforcement of the judgment against any party in Luxembourg would be available only in Euros and, for such purposes, all claims or debts would be converted into Euros. Similarly, in the event any proceedings are brought in an Icelandic court in respect of a monetary obligation payable in a currency other than the Icelandic Krona, an Icelandic court would have the power to give judgment as an order to pay the obligation in a currency other than the Icelandic Krona.</w:t>
      </w:r>
    </w:p>
    <w:p>
      <w:pPr>
        <w:spacing w:after="0" w:line="19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 addition, actions brought in a Luxembourg court against Alvotech, the members of our board of directors, our officers, or the experts named herein to enforce liabilities based on U.S. federal securities laws may be subject to certain restrictions. In particular, Luxembourg courts generally do not award punitive damages. Litigation in Luxembourg also is subject to rules of procedure that differ from the U.S. rules, including, with respect to the taking and admissibility of evidence, the conduct of the proceedings and the allocation of costs. Proceedings in Luxembourg would have to be conducted in the French or German language, and all documents submitted to the court would, in principle, have to be translated into French or German. For these reasons, it may be difficult for a U.S. investor to bring an original action in a Luxembourg court predicated upon the civil liability provisions of the U.S. federal securities laws against Alvotech, the members of our board of directors, our officers, or the experts named herein. In addition, even if a judgment against Alvotech, the non-U.S. members of our board of directors, our officers, or the experts named in this Annual Report on Form 20-F based on the civil liability provisions of the U.S. federal securities laws is obtained, a U.S. investor may not be able to enforce it in United States or Luxembourg courts.</w:t>
      </w:r>
    </w:p>
    <w:p>
      <w:pPr>
        <w:spacing w:after="0" w:line="18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Our directors and officers have entered into, or will enter into, indemnification agreements with Alvotech. Under such agreements, the directors and officers will be entitled to indemnification from Alvotech to the fullest extent permitted by Luxemburg law against liability and expenses reasonably incurred or paid by him or her in connection with any claim, action, suit, or proceeding in which he or she would be involved by virtue of his or her being or having been a director or officer and against amounts paid or incurred by him or her in the settlement thereof. Luxembourg law permits us to keep directors indemnified against any expenses, judgments, fines and amounts paid in connection with liability of a director towards Alvotech or a third-party for management errors i.e., for wrongful acts committed during the execution of the mandate (</w:t>
      </w:r>
      <w:r>
        <w:rPr>
          <w:rFonts w:ascii="Times New Roman" w:cs="Times New Roman" w:eastAsia="Times New Roman" w:hAnsi="Times New Roman"/>
          <w:sz w:val="18"/>
          <w:szCs w:val="18"/>
          <w:i w:val="1"/>
          <w:iCs w:val="1"/>
          <w:color w:val="auto"/>
        </w:rPr>
        <w:t>mandat</w:t>
      </w:r>
      <w:r>
        <w:rPr>
          <w:rFonts w:ascii="Times New Roman" w:cs="Times New Roman" w:eastAsia="Times New Roman" w:hAnsi="Times New Roman"/>
          <w:sz w:val="18"/>
          <w:szCs w:val="18"/>
          <w:color w:val="auto"/>
        </w:rPr>
        <w:t>) granted to the director by Alvotech, except in connection with criminal offenses, gross negligence or fraud. The rights to and obligations of indemnification among or between Alvotech and any of our current or former directors and officers are generally governed by the laws of Luxembourg and subject to the jurisdiction of the Luxembourg courts, unless such rights or obligations do not relate to or arise out of such persons’ capacities listed above. Although there is doubt as to whether U.S. courts would enforce this indemnification provision in an action brought in the United States under U.S. federal or state securities laws, this provision could make it more difficult to obtain judgments outside Luxembourg or from non-Luxembourg jurisdictions that would apply Luxembourg law against our assets in Luxembourg.</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440"/>
        <w:spacing w:after="0"/>
        <w:rPr>
          <w:sz w:val="20"/>
          <w:szCs w:val="20"/>
          <w:color w:val="auto"/>
        </w:rPr>
      </w:pPr>
      <w:r>
        <w:rPr>
          <w:rFonts w:ascii="Times New Roman" w:cs="Times New Roman" w:eastAsia="Times New Roman" w:hAnsi="Times New Roman"/>
          <w:sz w:val="18"/>
          <w:szCs w:val="18"/>
          <w:color w:val="auto"/>
        </w:rPr>
        <w:t>Our agent for service of process in the United States is Alvotech USA Inc., 1201 Wilson Blvd., Ste. 2130, Arlington, Virginia 22209.</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Unless the applicable prospectus supplement indicates otherwise, the validity of our ordinary shares and certain other matters governed by Luxembourg law will be passed on for us by Arendt &amp; Medernach S.A, Luxembourg counsel to Alvotech. Unless otherwise indicated in any prospectus supplement, Cooley LLP, New York, New York, will be representing us in regards to certain matters governed by U.S. law in connection with any offering. Additional legal matters may be passed upon for any underwriters, dealers or agents by counsel that we will name in the applicable prospectus supplement.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Alvotech incorporated by reference in this prospectus, have been audited by Deloitte ehf. an independent registered public accounting firm, as stated in their report. Such financial statements are incorporated by reference in reliance upon the report of such firm, given their authority as experts in accounting and auditing. The offices of Deloitte ehf. are located at Dalvegur 30, 201 Kópavogi, Iceland.</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we filed with the SEC. This prospectus does not contain all of the information set forth in the registration statement or the exhibits and schedules filed therewith. For further information with respect to us and our securities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maintain a website at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We will make available on our website,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prospectus incorporates by reference the documents listed below:</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our Annual Report on </w:t>
      </w:r>
      <w:r>
        <w:rPr>
          <w:rFonts w:ascii="Times New Roman" w:cs="Times New Roman" w:eastAsia="Times New Roman" w:hAnsi="Times New Roman"/>
          <w:sz w:val="18"/>
          <w:szCs w:val="18"/>
          <w:u w:val="single" w:color="auto"/>
          <w:color w:val="auto"/>
        </w:rPr>
        <w:t>Form 20-F</w:t>
      </w:r>
      <w:r>
        <w:rPr>
          <w:rFonts w:ascii="Times New Roman" w:cs="Times New Roman" w:eastAsia="Times New Roman" w:hAnsi="Times New Roman"/>
          <w:sz w:val="18"/>
          <w:szCs w:val="18"/>
          <w:color w:val="auto"/>
        </w:rPr>
        <w:t xml:space="preserve"> for the year ended December 31, 2022, filed with the SEC on March 1, 2023;</w:t>
      </w:r>
    </w:p>
    <w:p>
      <w:pPr>
        <w:spacing w:after="0" w:line="224"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5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description of our ordinary shares in our Registration Statement on </w:t>
      </w:r>
      <w:r>
        <w:rPr>
          <w:rFonts w:ascii="Times New Roman" w:cs="Times New Roman" w:eastAsia="Times New Roman" w:hAnsi="Times New Roman"/>
          <w:sz w:val="18"/>
          <w:szCs w:val="18"/>
          <w:u w:val="single" w:color="auto"/>
          <w:color w:val="auto"/>
        </w:rPr>
        <w:t>Form 8-A</w:t>
      </w:r>
      <w:r>
        <w:rPr>
          <w:rFonts w:ascii="Times New Roman" w:cs="Times New Roman" w:eastAsia="Times New Roman" w:hAnsi="Times New Roman"/>
          <w:sz w:val="18"/>
          <w:szCs w:val="18"/>
          <w:color w:val="auto"/>
        </w:rPr>
        <w:t xml:space="preserve"> filed with the SEC on June 13, 2022, which incorporates by reference the description of our ordinary shares from our Registration Statement on Form F-4 (File No. 333-261773), and any amendment or report filed for the purpose of updating such description; and</w:t>
      </w:r>
    </w:p>
    <w:p>
      <w:pPr>
        <w:spacing w:after="0" w:line="177" w:lineRule="exact"/>
        <w:rPr>
          <w:rFonts w:ascii="Arial" w:cs="Arial" w:eastAsia="Arial" w:hAnsi="Arial"/>
          <w:sz w:val="18"/>
          <w:szCs w:val="18"/>
          <w:b w:val="1"/>
          <w:bCs w:val="1"/>
          <w:color w:val="auto"/>
        </w:rPr>
      </w:pPr>
    </w:p>
    <w:p>
      <w:pPr>
        <w:ind w:left="660" w:right="60" w:hanging="328"/>
        <w:spacing w:after="0" w:line="255" w:lineRule="auto"/>
        <w:tabs>
          <w:tab w:leader="none" w:pos="660" w:val="left"/>
        </w:tabs>
        <w:numPr>
          <w:ilvl w:val="0"/>
          <w:numId w:val="5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report on Form 6-K dated April 14, 2023, excluding exhibit 99.1 thereto; our report on Form 6-K dated April 17, 2023; our report on Form 6-K dated May 24, 2023, excluding exhibit 99.1 thereto; our report on Form 6-K dated June 6, 2023, excluding Exhibits 99.1, 99.2 and 99.4 thereto; our report on Form 6-K dated June 29, 2023, excluding Exhibit 99.1 thereto; Exhibits 99.1, 99.2, 99.3 and 99.4 of our report on Form 6-K dated July 12, 2023; our report on Form 6-K dated July 24, 2023, excluding Exhibits 99.1, 99.2 and 5.1 and 23.2 thereto; our report on Form 6-K dated July 31, 2023, excluding Exhibit 99.1 thereto; our report on Form 6-K dated August 31, 2023, excluding Exhibit 99.8 thereto; our report on Form 6-K dated September 5, 2023, excluding Exhibit 99.1 thereto; our report on Form 6-K/A dated September 7, 2023; our report on Form 6-K dated September 21, 2023, excluding Exhibit 99.1 thereto; our report on Form 6-K dated October 3, 2023,</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excluding Exhibit 99.1 thereto; and our report on Form 6-K dated October 12, 2023, excluding Exhibit 99.1 thereto.</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also incorporating by reference all subsequent Annual Reports on Form 20-F filed by us. We may also incorporate by reference part or all of certain reports on Form 6-K that we furnish to the SEC after the date of this prospectus by specifically identifying in such reports on Form 6-K that they, or certain parts of their contents, are being incorporated by reference into this prospectus prior to the termination of the offering of securities under this Registration Statement. Reports on Form 6-K that we furnish to the SEC after the date of this prospectus, or certain parts of their contents, that we do not explicitly identify in such reports on Form 6-K as incorporated by reference into this prospectus, shall not be deemed incorporated by reference into this prospectus. In all cases, you should rely on the later information over different information included in this prospectus or any accompanying prospectus supplement.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Alvotech</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 Rue de Bitbourg,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L-1273 Luxembourg,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Grand Duchy of Luxembourg</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+354 422 4500</w:t>
      </w:r>
    </w:p>
    <w:p>
      <w:pPr>
        <w:spacing w:after="0" w:line="20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addition, copies of the documents incorporated herein by reference may be accessed at our website at </w:t>
      </w:r>
      <w:r>
        <w:rPr>
          <w:rFonts w:ascii="Times New Roman" w:cs="Times New Roman" w:eastAsia="Times New Roman" w:hAnsi="Times New Roman"/>
          <w:sz w:val="18"/>
          <w:szCs w:val="18"/>
          <w:i w:val="1"/>
          <w:iCs w:val="1"/>
          <w:color w:val="auto"/>
        </w:rPr>
        <w:t>www.alvotech.com</w:t>
      </w:r>
      <w:r>
        <w:rPr>
          <w:rFonts w:ascii="Times New Roman" w:cs="Times New Roman" w:eastAsia="Times New Roman" w:hAnsi="Times New Roman"/>
          <w:sz w:val="18"/>
          <w:szCs w:val="18"/>
          <w:color w:val="auto"/>
        </w:rPr>
        <w:t>. The reference to our website address does not constitute incorporation by reference of the information contained on or accessible through our website, and you should not consider the contents of our website in making an investment decision with respect to our securities.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applicable prospectus supplement. We have not authorized anyone to provide you with information different from that contained in this prospectus or incorporated by reference in this prospectus. We will not make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2856865</wp:posOffset>
            </wp:positionH>
            <wp:positionV relativeFrom="page">
              <wp:posOffset>320040</wp:posOffset>
            </wp:positionV>
            <wp:extent cx="1834515"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342900"/>
                    </a:xfrm>
                    <a:prstGeom prst="rect">
                      <a:avLst/>
                    </a:prstGeom>
                    <a:noFill/>
                  </pic:spPr>
                </pic:pic>
              </a:graphicData>
            </a:graphic>
          </wp:anchor>
        </w:drawing>
      </w:r>
    </w:p>
    <w:p>
      <w:pPr>
        <w:ind w:left="4220"/>
        <w:spacing w:after="0"/>
        <w:rPr>
          <w:sz w:val="20"/>
          <w:szCs w:val="20"/>
          <w:color w:val="auto"/>
        </w:rPr>
      </w:pPr>
      <w:r>
        <w:rPr>
          <w:rFonts w:ascii="Times New Roman" w:cs="Times New Roman" w:eastAsia="Times New Roman" w:hAnsi="Times New Roman"/>
          <w:sz w:val="25"/>
          <w:szCs w:val="25"/>
          <w:b w:val="1"/>
          <w:bCs w:val="1"/>
          <w:color w:val="auto"/>
        </w:rPr>
        <w:t>$</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5"/>
          <w:szCs w:val="25"/>
          <w:b w:val="1"/>
          <w:bCs w:val="1"/>
          <w:color w:val="auto"/>
        </w:rPr>
        <w:t>Ordinary Shares</w:t>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4140" w:val="left"/>
          <w:tab w:leader="none" w:pos="7660" w:val="left"/>
        </w:tabs>
        <w:rPr>
          <w:sz w:val="20"/>
          <w:szCs w:val="20"/>
          <w:color w:val="auto"/>
        </w:rPr>
      </w:pPr>
      <w:r>
        <w:rPr>
          <w:rFonts w:ascii="Times New Roman" w:cs="Times New Roman" w:eastAsia="Times New Roman" w:hAnsi="Times New Roman"/>
          <w:sz w:val="25"/>
          <w:szCs w:val="25"/>
          <w:b w:val="1"/>
          <w:bCs w:val="1"/>
          <w:color w:val="auto"/>
        </w:rPr>
        <w:t>BofA Securities</w:t>
      </w:r>
      <w:r>
        <w:rPr>
          <w:sz w:val="20"/>
          <w:szCs w:val="20"/>
          <w:color w:val="auto"/>
        </w:rPr>
        <w:tab/>
      </w:r>
      <w:r>
        <w:rPr>
          <w:rFonts w:ascii="Times New Roman" w:cs="Times New Roman" w:eastAsia="Times New Roman" w:hAnsi="Times New Roman"/>
          <w:sz w:val="25"/>
          <w:szCs w:val="25"/>
          <w:b w:val="1"/>
          <w:bCs w:val="1"/>
          <w:color w:val="auto"/>
        </w:rPr>
        <w:t>Jefferies</w:t>
      </w:r>
      <w:r>
        <w:rPr>
          <w:sz w:val="20"/>
          <w:szCs w:val="20"/>
          <w:color w:val="auto"/>
        </w:rPr>
        <w:tab/>
      </w:r>
      <w:r>
        <w:rPr>
          <w:rFonts w:ascii="Times New Roman" w:cs="Times New Roman" w:eastAsia="Times New Roman" w:hAnsi="Times New Roman"/>
          <w:sz w:val="25"/>
          <w:szCs w:val="25"/>
          <w:b w:val="1"/>
          <w:bCs w:val="1"/>
          <w:color w:val="auto"/>
        </w:rPr>
        <w:t>Evercore ISI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5"/>
          <w:szCs w:val="25"/>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161290</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9119"/>
      </w:cols>
      <w:pgMar w:left="13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lowerRoman"/>
      <w:start w:val="6"/>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lowerLetter"/>
      <w:start w:val="2"/>
    </w:lvl>
  </w:abstractNum>
  <w:abstractNum w:abstractNumId="18">
    <w:nsid w:val="5C482A97"/>
    <w:multiLevelType w:val="hybridMultilevel"/>
    <w:lvl w:ilvl="0">
      <w:lvlJc w:val="left"/>
      <w:lvlText w:val="(%1)"/>
      <w:numFmt w:val="lowerLetter"/>
      <w:start w:val="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lowerRoman"/>
      <w:start w:val="3"/>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1)"/>
      <w:numFmt w:val="lowerRoman"/>
      <w:start w:val="3"/>
    </w:lvl>
  </w:abstractNum>
  <w:abstractNum w:abstractNumId="35">
    <w:nsid w:val="542289EC"/>
    <w:multiLevelType w:val="hybridMultilevel"/>
    <w:lvl w:ilvl="0">
      <w:lvlJc w:val="left"/>
      <w:lvlText w:val="(%1)"/>
      <w:numFmt w:val="lowerRoman"/>
      <w:start w:val="2"/>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lowerRoman"/>
      <w:start w:val="3"/>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30" Type="http://schemas.openxmlformats.org/officeDocument/2006/relationships/image" Target="media/image4.png"/><Relationship Id="rId31" Type="http://schemas.openxmlformats.org/officeDocument/2006/relationships/image" Target="media/image5.png"/><Relationship Id="rId32"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png"/><Relationship Id="rId35" Type="http://schemas.openxmlformats.org/officeDocument/2006/relationships/image" Target="media/image9.png"/><Relationship Id="rId36" Type="http://schemas.openxmlformats.org/officeDocument/2006/relationships/image" Target="media/image10.png"/><Relationship Id="rId37" Type="http://schemas.openxmlformats.org/officeDocument/2006/relationships/image" Target="media/image11.png"/><Relationship Id="rId38"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42"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46" Type="http://schemas.openxmlformats.org/officeDocument/2006/relationships/image" Target="media/image20.png"/><Relationship Id="rId47" Type="http://schemas.openxmlformats.org/officeDocument/2006/relationships/image" Target="media/image21.png"/><Relationship Id="rId48" Type="http://schemas.openxmlformats.org/officeDocument/2006/relationships/image" Target="media/image22.png"/><Relationship Id="rId49" Type="http://schemas.openxmlformats.org/officeDocument/2006/relationships/image" Target="media/image23.png"/><Relationship Id="rId50" Type="http://schemas.openxmlformats.org/officeDocument/2006/relationships/image" Target="media/image24.png"/><Relationship Id="rId51" Type="http://schemas.openxmlformats.org/officeDocument/2006/relationships/image" Target="media/image25.png"/><Relationship Id="rId52" Type="http://schemas.openxmlformats.org/officeDocument/2006/relationships/image" Target="media/image26.png"/><Relationship Id="rId53" Type="http://schemas.openxmlformats.org/officeDocument/2006/relationships/image" Target="media/image27.png"/><Relationship Id="rId54"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png"/><Relationship Id="rId63" Type="http://schemas.openxmlformats.org/officeDocument/2006/relationships/image" Target="media/image37.png"/><Relationship Id="rId64"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jpe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jpeg"/><Relationship Id="rId149" Type="http://schemas.openxmlformats.org/officeDocument/2006/relationships/image" Target="media/image115.png"/><Relationship Id="rId11" Type="http://schemas.openxmlformats.org/officeDocument/2006/relationships/hyperlink" Target="https://www.sec.gov/Archives/edgar/data/1898416/000093041323002340/c107213_f3.htm#x1_c107213a001" TargetMode="External"/><Relationship Id="rId12" Type="http://schemas.openxmlformats.org/officeDocument/2006/relationships/hyperlink" Target="https://www.sec.gov/Archives/edgar/data/1898416/000093041323002340/c107213_f3.htm#x1_c107213a002" TargetMode="External"/><Relationship Id="rId13" Type="http://schemas.openxmlformats.org/officeDocument/2006/relationships/hyperlink" Target="https://www.sec.gov/Archives/edgar/data/1898416/000093041323002340/c107213_f3.htm#x1_c107213a003" TargetMode="External"/><Relationship Id="rId14" Type="http://schemas.openxmlformats.org/officeDocument/2006/relationships/hyperlink" Target="https://www.sec.gov/Archives/edgar/data/1898416/000093041323002340/c107213_f3.htm#x1_c107213a004" TargetMode="External"/><Relationship Id="rId15" Type="http://schemas.openxmlformats.org/officeDocument/2006/relationships/hyperlink" Target="https://www.sec.gov/Archives/edgar/data/1898416/000093041323002340/c107213_f3.htm#x1_c107213a005" TargetMode="External"/><Relationship Id="rId16" Type="http://schemas.openxmlformats.org/officeDocument/2006/relationships/hyperlink" Target="https://www.sec.gov/Archives/edgar/data/1898416/000093041323002340/c107213_f3.htm#x1_c107213a006" TargetMode="External"/><Relationship Id="rId17" Type="http://schemas.openxmlformats.org/officeDocument/2006/relationships/hyperlink" Target="https://www.sec.gov/Archives/edgar/data/1898416/000093041323002340/c107213_f3.htm#x1_c107213a007" TargetMode="External"/><Relationship Id="rId18" Type="http://schemas.openxmlformats.org/officeDocument/2006/relationships/hyperlink" Target="https://www.sec.gov/Archives/edgar/data/1898416/000093041323002340/c107213_f3.htm#x1_c107213a008" TargetMode="External"/><Relationship Id="rId19" Type="http://schemas.openxmlformats.org/officeDocument/2006/relationships/hyperlink" Target="https://www.sec.gov/Archives/edgar/data/1898416/000093041323002340/c107213_f3.htm#x1_c107213a009" TargetMode="External"/><Relationship Id="rId20" Type="http://schemas.openxmlformats.org/officeDocument/2006/relationships/hyperlink" Target="https://www.sec.gov/Archives/edgar/data/1898416/000093041323002340/c107213_f3.htm#x1_c107213a010" TargetMode="External"/><Relationship Id="rId21" Type="http://schemas.openxmlformats.org/officeDocument/2006/relationships/hyperlink" Target="https://www.sec.gov/Archives/edgar/data/1898416/000093041323002340/c107213_f3.htm#x1_c107213a011" TargetMode="External"/><Relationship Id="rId22" Type="http://schemas.openxmlformats.org/officeDocument/2006/relationships/hyperlink" Target="https://www.sec.gov/Archives/edgar/data/1898416/000093041323002340/c107213_f3.htm#x1_c107213a012" TargetMode="External"/><Relationship Id="rId23" Type="http://schemas.openxmlformats.org/officeDocument/2006/relationships/hyperlink" Target="https://www.sec.gov/Archives/edgar/data/1898416/000093041323002340/c107213_f3.htm#x1_c107213a013" TargetMode="External"/><Relationship Id="rId24" Type="http://schemas.openxmlformats.org/officeDocument/2006/relationships/hyperlink" Target="https://www.sec.gov/Archives/edgar/data/1898416/000093041323002340/c107213_f3.htm#x1_c107213a014" TargetMode="External"/><Relationship Id="rId25" Type="http://schemas.openxmlformats.org/officeDocument/2006/relationships/hyperlink" Target="https://www.sec.gov/Archives/edgar/data/1898416/000093041323002340/c107213_f3.htm#x1_c107213a015" TargetMode="External"/><Relationship Id="rId26" Type="http://schemas.openxmlformats.org/officeDocument/2006/relationships/hyperlink" Target="https://www.sec.gov/Archives/edgar/data/1898416/000093041323002340/c107213_f3.htm#x1_c107213a016" TargetMode="External"/><Relationship Id="rId27" Type="http://schemas.openxmlformats.org/officeDocument/2006/relationships/hyperlink" Target="https://www.sec.gov/Archives/edgar/data/1898416/000093041323002340/c107213_f3.htm#x1_c107213a017" TargetMode="External"/><Relationship Id="rId28" Type="http://schemas.openxmlformats.org/officeDocument/2006/relationships/hyperlink" Target="https://www.sec.gov/Archives/edgar/data/1898416/000093041323002340/c107213_f3.htm#x1_c107213a018" TargetMode="External"/><Relationship Id="rId29" Type="http://schemas.openxmlformats.org/officeDocument/2006/relationships/hyperlink" Target="https://www.sec.gov/Archives/edgar/data/1898416/000093041323002340/c107213_f3.htm#x1_c107213a019" TargetMode="External"/><Relationship Id="rId81" Type="http://schemas.openxmlformats.org/officeDocument/2006/relationships/hyperlink" Target="https://www.sec.gov/ix?doc=/Archives/edgar/data/0001898416/000189841626000004/alvo-20251231.htm" TargetMode="External"/><Relationship Id="rId82" Type="http://schemas.openxmlformats.org/officeDocument/2006/relationships/hyperlink" Target="https://www.sec.gov/Archives/edgar/data/1898416/000119312522172938/d337626d8a12b.htm" TargetMode="External"/><Relationship Id="rId83" Type="http://schemas.openxmlformats.org/officeDocument/2006/relationships/hyperlink" Target="https://www.sec.gov/Archives/edgar/data/1898416/000119312523056506/d454484dex211.htm" TargetMode="External"/><Relationship Id="rId84" Type="http://schemas.openxmlformats.org/officeDocument/2006/relationships/hyperlink" Target="https://www.sec.gov/Archives/edgar/data/1898416/000117184326002963/f6k_050426.htm" TargetMode="External"/><Relationship Id="rId85" Type="http://schemas.openxmlformats.org/officeDocument/2006/relationships/hyperlink" Target="https://www.sec.gov/Archives/edgar/data/1898416/000117184326003231/f6k_051126.htm" TargetMode="External"/><Relationship Id="rId86" Type="http://schemas.openxmlformats.org/officeDocument/2006/relationships/hyperlink" Target="https://www.sec.gov/Archives/edgar/data/1898416/000117184326003911/f6k_060426.htm" TargetMode="External"/><Relationship Id="rId87" Type="http://schemas.openxmlformats.org/officeDocument/2006/relationships/hyperlink" Target="https://www.sec.gov/Archives/edgar/data/1898416/000117184326003974/f6k_060826.htm" TargetMode="External"/><Relationship Id="rId88" Type="http://schemas.openxmlformats.org/officeDocument/2006/relationships/hyperlink" Target="https://www.sec.gov/Archives/edgar/data/1898416/000093041326001856/c116680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2026-06-15T16:39:08Z</dcterms:created>
  <dcterms:modified xsi:type="dcterms:W3CDTF">2026-06-15T16:39:08Z</dcterms:modified>
</cp:coreProperties>
</file>